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keepNext w:val="true"/>
        <w:keepLines w:val="true"/>
        <w:spacing w:before="360" w:after="80" w:line="240"/>
        <w:ind w:right="0" w:left="0" w:firstLine="0"/>
        <w:jc w:val="left"/>
        <w:rPr>
          <w:rFonts w:ascii="Aptos Display" w:hAnsi="Aptos Display" w:cs="Aptos Display" w:eastAsia="Aptos Display"/>
          <w:color w:val="0F4761"/>
          <w:spacing w:val="0"/>
          <w:position w:val="0"/>
          <w:sz w:val="40"/>
          <w:shd w:fill="auto" w:val="clear"/>
        </w:rPr>
      </w:pPr>
      <w:r>
        <w:rPr>
          <w:rFonts w:ascii="Aptos Display" w:hAnsi="Aptos Display" w:cs="Aptos Display" w:eastAsia="Aptos Display"/>
          <w:color w:val="0F4761"/>
          <w:spacing w:val="0"/>
          <w:position w:val="0"/>
          <w:sz w:val="40"/>
          <w:shd w:fill="auto" w:val="clear"/>
        </w:rPr>
        <w:t xml:space="preserve">VibeSwap Autonomous Partnership Framework</w:t>
      </w:r>
    </w:p>
    <w:p>
      <w:pPr>
        <w:spacing w:before="180" w:after="18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W. Glynn, JARVIS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March 2026 | VibeSwap</w:t>
      </w:r>
    </w:p>
    <w:p>
      <w:pPr>
        <w:spacing w:before="0" w:after="20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</w:pPr>
      <w:r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  <w:t xml:space="preserve">Executive Summary</w:t>
      </w:r>
    </w:p>
    <w:p>
      <w:pPr>
        <w:spacing w:before="180" w:after="18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VibeSwap uses an autonomous partnership pipeline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— codename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Karma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— that continuously discovers, evaluates, contacts, and tracks potential protocol partners. The system runs with minimal human intervention, surfacing only high-quality opportunities for final approval.</w:t>
      </w:r>
    </w:p>
    <w:p>
      <w:pPr>
        <w:spacing w:before="180" w:after="18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Karma replaces the traditional BD model (one person cold-emailing) with a structured, repeatable, autonomous workflow that any team member can operate and any AI agent can execute.</w:t>
      </w:r>
    </w:p>
    <w:p>
      <w:pPr>
        <w:spacing w:before="0" w:after="20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</w:pPr>
      <w:r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  <w:t xml:space="preserve">1. The Karma Loop</w:t>
      </w:r>
    </w:p>
    <w:p>
      <w:pPr>
        <w:spacing w:before="0" w:after="200" w:line="240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┌─────────────┐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┌──────────────┐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┌───────────┐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 DISCOVERY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│───►│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 EVALUATION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│───►│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 OUTREACH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 (automated)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 (scored)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 (templated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└─────────────┘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└──────────────┘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 + custom)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br/>
        <w:t xml:space="preserve">                                   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└─────┬─────┘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br/>
        <w:t xml:space="preserve">                                         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┌─────────────┐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┌──────────────┐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┌─────▼─────┐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 REPORTING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│◄───│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 EXECUTION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│◄───│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 TRACKING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 (dashboard)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 (on-chain)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 (CRM) 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│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└─────────────┘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└──────────────┘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└───────────┘</w:t>
      </w:r>
    </w:p>
    <w:p>
      <w:pPr>
        <w:spacing w:before="180" w:after="18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The loop runs continuously. Each stage feeds the next. No stage requires synchronous human decision-making except final deal approval.</w:t>
      </w:r>
    </w:p>
    <w:p>
      <w:pPr>
        <w:spacing w:before="0" w:after="20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</w:pPr>
      <w:r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  <w:t xml:space="preserve">2. Stage 1: Discovery</w:t>
      </w: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  <w:t xml:space="preserve">2.1 Sources</w:t>
      </w:r>
    </w:p>
    <w:tbl>
      <w:tblPr/>
      <w:tblGrid>
        <w:gridCol w:w="2043"/>
        <w:gridCol w:w="2043"/>
        <w:gridCol w:w="3832"/>
      </w:tblGrid>
      <w:tr>
        <w:trPr>
          <w:trHeight w:val="315" w:hRule="auto"/>
          <w:jc w:val="left"/>
        </w:trPr>
        <w:tc>
          <w:tcPr>
            <w:tcW w:w="204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Source</w:t>
            </w:r>
          </w:p>
        </w:tc>
        <w:tc>
          <w:tcPr>
            <w:tcW w:w="204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Signal</w:t>
            </w:r>
          </w:p>
        </w:tc>
        <w:tc>
          <w:tcPr>
            <w:tcW w:w="383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Scan Frequency</w:t>
            </w:r>
          </w:p>
        </w:tc>
      </w:tr>
      <w:tr>
        <w:trPr>
          <w:trHeight w:val="1" w:hRule="atLeast"/>
          <w:jc w:val="left"/>
        </w:trPr>
        <w:tc>
          <w:tcPr>
            <w:tcW w:w="204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Twitter/X</w:t>
            </w:r>
          </w:p>
        </w:tc>
        <w:tc>
          <w:tcPr>
            <w:tcW w:w="204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Projects tweeting about MEV, batch auctions, fair launch</w:t>
            </w:r>
          </w:p>
        </w:tc>
        <w:tc>
          <w:tcPr>
            <w:tcW w:w="383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Daily</w:t>
            </w:r>
          </w:p>
        </w:tc>
      </w:tr>
      <w:tr>
        <w:trPr>
          <w:trHeight w:val="1" w:hRule="atLeast"/>
          <w:jc w:val="left"/>
        </w:trPr>
        <w:tc>
          <w:tcPr>
            <w:tcW w:w="204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GitHub</w:t>
            </w:r>
          </w:p>
        </w:tc>
        <w:tc>
          <w:tcPr>
            <w:tcW w:w="204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Repos with MEV protection, DEX, cross-chain keywords</w:t>
            </w:r>
          </w:p>
        </w:tc>
        <w:tc>
          <w:tcPr>
            <w:tcW w:w="383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Weekly</w:t>
            </w:r>
          </w:p>
        </w:tc>
      </w:tr>
      <w:tr>
        <w:trPr>
          <w:trHeight w:val="1" w:hRule="atLeast"/>
          <w:jc w:val="left"/>
        </w:trPr>
        <w:tc>
          <w:tcPr>
            <w:tcW w:w="204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DeFi Llama</w:t>
            </w:r>
          </w:p>
        </w:tc>
        <w:tc>
          <w:tcPr>
            <w:tcW w:w="204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New protocols with &gt;$1M TVL in target categories</w:t>
            </w:r>
          </w:p>
        </w:tc>
        <w:tc>
          <w:tcPr>
            <w:tcW w:w="383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Daily</w:t>
            </w:r>
          </w:p>
        </w:tc>
      </w:tr>
      <w:tr>
        <w:trPr>
          <w:trHeight w:val="1" w:hRule="atLeast"/>
          <w:jc w:val="left"/>
        </w:trPr>
        <w:tc>
          <w:tcPr>
            <w:tcW w:w="204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Ethereum Research Forum</w:t>
            </w:r>
          </w:p>
        </w:tc>
        <w:tc>
          <w:tcPr>
            <w:tcW w:w="204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Posts about auction mechanisms, MEV mitigation</w:t>
            </w:r>
          </w:p>
        </w:tc>
        <w:tc>
          <w:tcPr>
            <w:tcW w:w="383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Weekly</w:t>
            </w:r>
          </w:p>
        </w:tc>
      </w:tr>
      <w:tr>
        <w:trPr>
          <w:trHeight w:val="1" w:hRule="atLeast"/>
          <w:jc w:val="left"/>
        </w:trPr>
        <w:tc>
          <w:tcPr>
            <w:tcW w:w="204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Nervos/CKB Forums</w:t>
            </w:r>
          </w:p>
        </w:tc>
        <w:tc>
          <w:tcPr>
            <w:tcW w:w="204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Projects building on CKB cell model</w:t>
            </w:r>
          </w:p>
        </w:tc>
        <w:tc>
          <w:tcPr>
            <w:tcW w:w="383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Weekly</w:t>
            </w:r>
          </w:p>
        </w:tc>
      </w:tr>
      <w:tr>
        <w:trPr>
          <w:trHeight w:val="1" w:hRule="atLeast"/>
          <w:jc w:val="left"/>
        </w:trPr>
        <w:tc>
          <w:tcPr>
            <w:tcW w:w="204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LayerZero Ecosystem</w:t>
            </w:r>
          </w:p>
        </w:tc>
        <w:tc>
          <w:tcPr>
            <w:tcW w:w="204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Projects using LZ V2 for cross-chain</w:t>
            </w:r>
          </w:p>
        </w:tc>
        <w:tc>
          <w:tcPr>
            <w:tcW w:w="383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Weekly</w:t>
            </w:r>
          </w:p>
        </w:tc>
      </w:tr>
    </w:tbl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  <w:t xml:space="preserve">2.2 Discovery Criteria</w:t>
      </w:r>
    </w:p>
    <w:p>
      <w:pPr>
        <w:spacing w:before="180" w:after="18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A project enters the pipeline if it matches ANY of:</w:t>
      </w:r>
    </w:p>
    <w:p>
      <w:pPr>
        <w:numPr>
          <w:ilvl w:val="0"/>
          <w:numId w:val="30"/>
        </w:numPr>
        <w:spacing w:before="36" w:after="36" w:line="24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Building MEV protection or fair ordering</w:t>
      </w:r>
    </w:p>
    <w:p>
      <w:pPr>
        <w:numPr>
          <w:ilvl w:val="0"/>
          <w:numId w:val="30"/>
        </w:numPr>
        <w:spacing w:before="36" w:after="36" w:line="24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Building batch auction infrastructure</w:t>
      </w:r>
    </w:p>
    <w:p>
      <w:pPr>
        <w:numPr>
          <w:ilvl w:val="0"/>
          <w:numId w:val="30"/>
        </w:numPr>
        <w:spacing w:before="36" w:after="36" w:line="24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Building AI agent infrastructure</w:t>
      </w:r>
    </w:p>
    <w:p>
      <w:pPr>
        <w:numPr>
          <w:ilvl w:val="0"/>
          <w:numId w:val="30"/>
        </w:numPr>
        <w:spacing w:before="36" w:after="36" w:line="24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Building cross-chain DEX or bridge infrastructure</w:t>
      </w:r>
    </w:p>
    <w:p>
      <w:pPr>
        <w:numPr>
          <w:ilvl w:val="0"/>
          <w:numId w:val="30"/>
        </w:numPr>
        <w:spacing w:before="36" w:after="36" w:line="24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Active on a chain VibeSwap deploys on (Base, Arbitrum, Optimism, CKB)</w:t>
      </w:r>
    </w:p>
    <w:p>
      <w:pPr>
        <w:numPr>
          <w:ilvl w:val="0"/>
          <w:numId w:val="30"/>
        </w:numPr>
        <w:spacing w:before="36" w:after="36" w:line="24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Has expressed interest in Cooperative Capitalism or similar economic models</w:t>
      </w: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  <w:t xml:space="preserve">2.3 Implementation</w:t>
      </w:r>
    </w:p>
    <w:p>
      <w:pPr>
        <w:spacing w:before="180" w:after="18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Phase 1 (manual + templates): - Weekly 30-minute discovery session using Twitter search, DeFi Llama, and GitHub - Log prospects in a shared spreadsheet or Notion database</w:t>
      </w:r>
    </w:p>
    <w:p>
      <w:pPr>
        <w:spacing w:before="180" w:after="18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Phase 2 (semi-automated): - Scrapling-based web scraper monitors sources automatically - Generates discovery report delivered to Telegram/Discord - Human reviews and approves entries into pipeline</w:t>
      </w:r>
    </w:p>
    <w:p>
      <w:pPr>
        <w:spacing w:before="180" w:after="18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Phase 3 (fully autonomous): - JARVIS runs discovery autonomously using web search + API tools - Auto-populates CRM with scored prospects - Human only reviews final outreach drafts</w:t>
      </w:r>
    </w:p>
    <w:p>
      <w:pPr>
        <w:spacing w:before="0" w:after="20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</w:pPr>
      <w:r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  <w:t xml:space="preserve">3. Stage 2: Evaluation</w:t>
      </w: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  <w:t xml:space="preserve">3.1 Scoring Matrix</w:t>
      </w:r>
    </w:p>
    <w:p>
      <w:pPr>
        <w:spacing w:before="180" w:after="18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Each prospect is scored 0-100 across five dimensions:</w:t>
      </w:r>
    </w:p>
    <w:tbl>
      <w:tblPr/>
      <w:tblGrid>
        <w:gridCol w:w="2420"/>
        <w:gridCol w:w="1760"/>
        <w:gridCol w:w="3740"/>
      </w:tblGrid>
      <w:tr>
        <w:trPr>
          <w:trHeight w:val="1" w:hRule="atLeast"/>
          <w:jc w:val="left"/>
        </w:trPr>
        <w:tc>
          <w:tcPr>
            <w:tcW w:w="242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Dimension</w:t>
            </w:r>
          </w:p>
        </w:tc>
        <w:tc>
          <w:tcPr>
            <w:tcW w:w="17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Weight</w:t>
            </w:r>
          </w:p>
        </w:tc>
        <w:tc>
          <w:tcPr>
            <w:tcW w:w="37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Scoring Criteria</w:t>
            </w:r>
          </w:p>
        </w:tc>
      </w:tr>
      <w:tr>
        <w:trPr>
          <w:trHeight w:val="1" w:hRule="atLeast"/>
          <w:jc w:val="left"/>
        </w:trPr>
        <w:tc>
          <w:tcPr>
            <w:tcW w:w="242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Live Product</w:t>
            </w:r>
          </w:p>
        </w:tc>
        <w:tc>
          <w:tcPr>
            <w:tcW w:w="17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25%</w:t>
            </w:r>
          </w:p>
        </w:tc>
        <w:tc>
          <w:tcPr>
            <w:tcW w:w="37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Mainnet deployment (25), Testnet (15), Whitepaper only (5), Nothing (0)</w:t>
            </w:r>
          </w:p>
        </w:tc>
      </w:tr>
      <w:tr>
        <w:trPr>
          <w:trHeight w:val="1" w:hRule="atLeast"/>
          <w:jc w:val="left"/>
        </w:trPr>
        <w:tc>
          <w:tcPr>
            <w:tcW w:w="242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Team Credibility</w:t>
            </w:r>
          </w:p>
        </w:tc>
        <w:tc>
          <w:tcPr>
            <w:tcW w:w="17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20%</w:t>
            </w:r>
          </w:p>
        </w:tc>
        <w:tc>
          <w:tcPr>
            <w:tcW w:w="37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Known builders (20), Anon but active (12), Anon no history (5)</w:t>
            </w:r>
          </w:p>
        </w:tc>
      </w:tr>
      <w:tr>
        <w:trPr>
          <w:trHeight w:val="1" w:hRule="atLeast"/>
          <w:jc w:val="left"/>
        </w:trPr>
        <w:tc>
          <w:tcPr>
            <w:tcW w:w="242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Technical Overlap</w:t>
            </w:r>
          </w:p>
        </w:tc>
        <w:tc>
          <w:tcPr>
            <w:tcW w:w="17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25%</w:t>
            </w:r>
          </w:p>
        </w:tc>
        <w:tc>
          <w:tcPr>
            <w:tcW w:w="37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Direct integration path (25), Shared dependencies (15), Thematic only (5)</w:t>
            </w:r>
          </w:p>
        </w:tc>
      </w:tr>
      <w:tr>
        <w:trPr>
          <w:trHeight w:val="1" w:hRule="atLeast"/>
          <w:jc w:val="left"/>
        </w:trPr>
        <w:tc>
          <w:tcPr>
            <w:tcW w:w="242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Community Size</w:t>
            </w:r>
          </w:p>
        </w:tc>
        <w:tc>
          <w:tcPr>
            <w:tcW w:w="17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15%</w:t>
            </w:r>
          </w:p>
        </w:tc>
        <w:tc>
          <w:tcPr>
            <w:tcW w:w="37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&gt;10K followers (15), 1-10K (10), &lt;1K (5)</w:t>
            </w:r>
          </w:p>
        </w:tc>
      </w:tr>
      <w:tr>
        <w:trPr>
          <w:trHeight w:val="1" w:hRule="atLeast"/>
          <w:jc w:val="left"/>
        </w:trPr>
        <w:tc>
          <w:tcPr>
            <w:tcW w:w="242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Alignment</w:t>
            </w:r>
          </w:p>
        </w:tc>
        <w:tc>
          <w:tcPr>
            <w:tcW w:w="17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15%</w:t>
            </w:r>
          </w:p>
        </w:tc>
        <w:tc>
          <w:tcPr>
            <w:tcW w:w="37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Explicitly anti-MEV/pro-fairness (15), Neutral (8), VC-captured (0)</w:t>
            </w:r>
          </w:p>
        </w:tc>
      </w:tr>
    </w:tbl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  <w:t xml:space="preserve">3.2 Tier Classification</w:t>
      </w:r>
    </w:p>
    <w:tbl>
      <w:tblPr/>
      <w:tblGrid>
        <w:gridCol w:w="2640"/>
        <w:gridCol w:w="2640"/>
        <w:gridCol w:w="2640"/>
      </w:tblGrid>
      <w:tr>
        <w:trPr>
          <w:trHeight w:val="1" w:hRule="atLeast"/>
          <w:jc w:val="left"/>
        </w:trPr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Score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Tier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Action</w:t>
            </w:r>
          </w:p>
        </w:tc>
      </w:tr>
      <w:tr>
        <w:trPr>
          <w:trHeight w:val="1" w:hRule="atLeast"/>
          <w:jc w:val="left"/>
        </w:trPr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80-100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A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Immediate outreach, founder-to-founder</w:t>
            </w:r>
          </w:p>
        </w:tc>
      </w:tr>
      <w:tr>
        <w:trPr>
          <w:trHeight w:val="1" w:hRule="atLeast"/>
          <w:jc w:val="left"/>
        </w:trPr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60-79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B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Standard outreach via email template</w:t>
            </w:r>
          </w:p>
        </w:tc>
      </w:tr>
      <w:tr>
        <w:trPr>
          <w:trHeight w:val="1" w:hRule="atLeast"/>
          <w:jc w:val="left"/>
        </w:trPr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40-59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C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Monitor, outreach when milestone triggers</w:t>
            </w:r>
          </w:p>
        </w:tc>
      </w:tr>
      <w:tr>
        <w:trPr>
          <w:trHeight w:val="1" w:hRule="atLeast"/>
          <w:jc w:val="left"/>
        </w:trPr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0-39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D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Archive, revisit quarterly</w:t>
            </w:r>
          </w:p>
        </w:tc>
      </w:tr>
    </w:tbl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  <w:t xml:space="preserve">3.3 Auto-Disqualification</w:t>
      </w:r>
    </w:p>
    <w:p>
      <w:pPr>
        <w:spacing w:before="180" w:after="18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Prospects are auto-rejected if: - Known scam or rug pull history - Explicit VC lockup with &gt;25% insider allocation - No public code or product after 12+ months - Adversarial relationship with communities we serve</w:t>
      </w:r>
    </w:p>
    <w:p>
      <w:pPr>
        <w:spacing w:before="0" w:after="20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</w:pPr>
      <w:r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  <w:t xml:space="preserve">4. Stage 3: Outreach</w:t>
      </w: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  <w:t xml:space="preserve">4.1 Email Template Structure</w:t>
      </w:r>
    </w:p>
    <w:p>
      <w:pPr>
        <w:spacing w:before="0" w:after="200" w:line="240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Subject: [Project Name] × VibeSwap 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[specific integration idea]</w:t>
        <w:br/>
        <w:br/>
        <w:t xml:space="preserve">Hi [Name],</w:t>
        <w:br/>
        <w:br/>
        <w:t xml:space="preserve">[1 sentence: what they're building and why we noticed]</w:t>
        <w:br/>
        <w:br/>
        <w:t xml:space="preserve">[1 sentence: what VibeSwap does and the specific synergy]</w:t>
        <w:br/>
        <w:br/>
        <w:t xml:space="preserve">[1 sentence: concrete proposal 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integration, co-marketing, shared research]</w:t>
        <w:br/>
        <w:br/>
        <w:t xml:space="preserve">[1 sentence: next step 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"15 min call this week?"]</w:t>
        <w:br/>
        <w:br/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Will Glynn, VibeSwap</w:t>
      </w: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  <w:t xml:space="preserve">4.2 Personalization Rules</w:t>
      </w:r>
    </w:p>
    <w:p>
      <w:pPr>
        <w:numPr>
          <w:ilvl w:val="0"/>
          <w:numId w:val="69"/>
        </w:numPr>
        <w:spacing w:before="36" w:after="36" w:line="24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Reference a specific tweet, commit, or blog post from the prospect</w:t>
      </w:r>
    </w:p>
    <w:p>
      <w:pPr>
        <w:numPr>
          <w:ilvl w:val="0"/>
          <w:numId w:val="69"/>
        </w:numPr>
        <w:spacing w:before="36" w:after="36" w:line="24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Propose a concrete integration (not vague “let’s collaborate”)</w:t>
      </w:r>
    </w:p>
    <w:p>
      <w:pPr>
        <w:numPr>
          <w:ilvl w:val="0"/>
          <w:numId w:val="69"/>
        </w:numPr>
        <w:spacing w:before="36" w:after="36" w:line="24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Include a link to the most relevant VibeSwap paper or demo</w:t>
      </w:r>
    </w:p>
    <w:p>
      <w:pPr>
        <w:numPr>
          <w:ilvl w:val="0"/>
          <w:numId w:val="69"/>
        </w:numPr>
        <w:spacing w:before="36" w:after="36" w:line="24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Keep it under 150 words</w:t>
      </w: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  <w:t xml:space="preserve">4.3 Follow-Up Cadence</w:t>
      </w:r>
    </w:p>
    <w:tbl>
      <w:tblPr/>
      <w:tblGrid>
        <w:gridCol w:w="3960"/>
        <w:gridCol w:w="3960"/>
      </w:tblGrid>
      <w:tr>
        <w:trPr>
          <w:trHeight w:val="1" w:hRule="atLeast"/>
          <w:jc w:val="left"/>
        </w:trPr>
        <w:tc>
          <w:tcPr>
            <w:tcW w:w="3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Day</w:t>
            </w:r>
          </w:p>
        </w:tc>
        <w:tc>
          <w:tcPr>
            <w:tcW w:w="3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Action</w:t>
            </w:r>
          </w:p>
        </w:tc>
      </w:tr>
      <w:tr>
        <w:trPr>
          <w:trHeight w:val="1" w:hRule="atLeast"/>
          <w:jc w:val="left"/>
        </w:trPr>
        <w:tc>
          <w:tcPr>
            <w:tcW w:w="3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0</w:t>
            </w:r>
          </w:p>
        </w:tc>
        <w:tc>
          <w:tcPr>
            <w:tcW w:w="3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Initial email</w:t>
            </w:r>
          </w:p>
        </w:tc>
      </w:tr>
      <w:tr>
        <w:trPr>
          <w:trHeight w:val="1" w:hRule="atLeast"/>
          <w:jc w:val="left"/>
        </w:trPr>
        <w:tc>
          <w:tcPr>
            <w:tcW w:w="3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3</w:t>
            </w:r>
          </w:p>
        </w:tc>
        <w:tc>
          <w:tcPr>
            <w:tcW w:w="3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Twitter DM (if no response)</w:t>
            </w:r>
          </w:p>
        </w:tc>
      </w:tr>
      <w:tr>
        <w:trPr>
          <w:trHeight w:val="1" w:hRule="atLeast"/>
          <w:jc w:val="left"/>
        </w:trPr>
        <w:tc>
          <w:tcPr>
            <w:tcW w:w="3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7</w:t>
            </w:r>
          </w:p>
        </w:tc>
        <w:tc>
          <w:tcPr>
            <w:tcW w:w="3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Follow-up email with new angle</w:t>
            </w:r>
          </w:p>
        </w:tc>
      </w:tr>
      <w:tr>
        <w:trPr>
          <w:trHeight w:val="1" w:hRule="atLeast"/>
          <w:jc w:val="left"/>
        </w:trPr>
        <w:tc>
          <w:tcPr>
            <w:tcW w:w="3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14</w:t>
            </w:r>
          </w:p>
        </w:tc>
        <w:tc>
          <w:tcPr>
            <w:tcW w:w="3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Final follow-up, then archive to Tier C</w:t>
            </w:r>
          </w:p>
        </w:tc>
      </w:tr>
    </w:tbl>
    <w:p>
      <w:pPr>
        <w:spacing w:before="0" w:after="20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</w:pPr>
      <w:r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  <w:t xml:space="preserve">5. Stage 4: Tracking (CRM Pipeline)</w:t>
      </w: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  <w:t xml:space="preserve">5.1 Pipeline Stages</w:t>
      </w:r>
    </w:p>
    <w:p>
      <w:pPr>
        <w:spacing w:before="0" w:after="200" w:line="240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Discovered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Evaluated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Contacted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Responded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Meeting Scheduled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br/>
        <w:t xml:space="preserve">Deal Terms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Executed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Active Partnership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Review</w:t>
      </w: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  <w:t xml:space="preserve">5.2 Required Fields</w:t>
      </w:r>
    </w:p>
    <w:tbl>
      <w:tblPr/>
      <w:tblGrid>
        <w:gridCol w:w="2640"/>
        <w:gridCol w:w="2640"/>
        <w:gridCol w:w="2640"/>
      </w:tblGrid>
      <w:tr>
        <w:trPr>
          <w:trHeight w:val="1" w:hRule="atLeast"/>
          <w:jc w:val="left"/>
        </w:trPr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Field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Type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Required</w:t>
            </w:r>
          </w:p>
        </w:tc>
      </w:tr>
      <w:tr>
        <w:trPr>
          <w:trHeight w:val="1" w:hRule="atLeast"/>
          <w:jc w:val="left"/>
        </w:trPr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Project name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Text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Yes</w:t>
            </w:r>
          </w:p>
        </w:tc>
      </w:tr>
      <w:tr>
        <w:trPr>
          <w:trHeight w:val="1" w:hRule="atLeast"/>
          <w:jc w:val="left"/>
        </w:trPr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Contact name + email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Text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Yes</w:t>
            </w:r>
          </w:p>
        </w:tc>
      </w:tr>
      <w:tr>
        <w:trPr>
          <w:trHeight w:val="1" w:hRule="atLeast"/>
          <w:jc w:val="left"/>
        </w:trPr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Score (0-100)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Number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Yes</w:t>
            </w:r>
          </w:p>
        </w:tc>
      </w:tr>
      <w:tr>
        <w:trPr>
          <w:trHeight w:val="1" w:hRule="atLeast"/>
          <w:jc w:val="left"/>
        </w:trPr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Tier (A/B/C/D)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Enum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Yes</w:t>
            </w:r>
          </w:p>
        </w:tc>
      </w:tr>
      <w:tr>
        <w:trPr>
          <w:trHeight w:val="1" w:hRule="atLeast"/>
          <w:jc w:val="left"/>
        </w:trPr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Stage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Enum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Yes</w:t>
            </w:r>
          </w:p>
        </w:tc>
      </w:tr>
      <w:tr>
        <w:trPr>
          <w:trHeight w:val="1" w:hRule="atLeast"/>
          <w:jc w:val="left"/>
        </w:trPr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Last contact date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Date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Yes</w:t>
            </w:r>
          </w:p>
        </w:tc>
      </w:tr>
      <w:tr>
        <w:trPr>
          <w:trHeight w:val="1" w:hRule="atLeast"/>
          <w:jc w:val="left"/>
        </w:trPr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Next action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Text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Yes</w:t>
            </w:r>
          </w:p>
        </w:tc>
      </w:tr>
      <w:tr>
        <w:trPr>
          <w:trHeight w:val="1" w:hRule="atLeast"/>
          <w:jc w:val="left"/>
        </w:trPr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Integration type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Enum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Yes</w:t>
            </w:r>
          </w:p>
        </w:tc>
      </w:tr>
      <w:tr>
        <w:trPr>
          <w:trHeight w:val="1" w:hRule="atLeast"/>
          <w:jc w:val="left"/>
        </w:trPr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Text</w:t>
            </w:r>
          </w:p>
        </w:tc>
        <w:tc>
          <w:tcPr>
            <w:tcW w:w="26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Optional</w:t>
            </w:r>
          </w:p>
        </w:tc>
      </w:tr>
    </w:tbl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  <w:t xml:space="preserve">5.3 Integration Types</w:t>
      </w:r>
    </w:p>
    <w:p>
      <w:pPr>
        <w:numPr>
          <w:ilvl w:val="0"/>
          <w:numId w:val="110"/>
        </w:numPr>
        <w:spacing w:before="36" w:after="36" w:line="24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Technical Integration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Shared smart contracts, cross-protocol calls</w:t>
      </w:r>
    </w:p>
    <w:p>
      <w:pPr>
        <w:numPr>
          <w:ilvl w:val="0"/>
          <w:numId w:val="110"/>
        </w:numPr>
        <w:spacing w:before="36" w:after="36" w:line="24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Liquidity Partnership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Shared pools, cross-listed assets</w:t>
      </w:r>
    </w:p>
    <w:p>
      <w:pPr>
        <w:numPr>
          <w:ilvl w:val="0"/>
          <w:numId w:val="110"/>
        </w:numPr>
        <w:spacing w:before="36" w:after="36" w:line="24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Research Collaboration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Co-authored papers, shared mechanism design</w:t>
      </w:r>
    </w:p>
    <w:p>
      <w:pPr>
        <w:numPr>
          <w:ilvl w:val="0"/>
          <w:numId w:val="110"/>
        </w:numPr>
        <w:spacing w:before="36" w:after="36" w:line="24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Co-Marketing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Joint announcements, shared content, cross-promotion</w:t>
      </w:r>
    </w:p>
    <w:p>
      <w:pPr>
        <w:numPr>
          <w:ilvl w:val="0"/>
          <w:numId w:val="110"/>
        </w:numPr>
        <w:spacing w:before="36" w:after="36" w:line="24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Ecosystem Grant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Funding from partner ecosystem for VibeSwap deployment</w:t>
      </w:r>
    </w:p>
    <w:p>
      <w:pPr>
        <w:spacing w:before="0" w:after="20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</w:pPr>
      <w:r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  <w:t xml:space="preserve">6. Stage 5: Execution</w:t>
      </w: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  <w:t xml:space="preserve">6.1 On-Chain Partnership Contracts</w:t>
      </w:r>
    </w:p>
    <w:p>
      <w:pPr>
        <w:spacing w:before="180" w:after="18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For technical and liquidity partnerships, terms are encoded in smart contracts:</w:t>
      </w:r>
    </w:p>
    <w:p>
      <w:pPr>
        <w:spacing w:before="0" w:after="200" w:line="240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struct Partnership {</w:t>
        <w:br/>
        <w:t xml:space="preserve">    address partner;</w:t>
        <w:br/>
        <w:t xml:space="preserve">    uint256 revenueShareBps;    // Partner's share in basis points</w:t>
        <w:br/>
        <w:t xml:space="preserve">    uint256 startBlock;</w:t>
        <w:br/>
        <w:t xml:space="preserve">    uint256 endBlock;           // 0 = indefinite</w:t>
        <w:br/>
        <w:t xml:space="preserve">    bytes32 integrationHash;    // Hash of integration spec</w:t>
        <w:br/>
        <w:t xml:space="preserve">    bool active;</w:t>
        <w:br/>
        <w:t xml:space="preserve">}</w:t>
      </w: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  <w:t xml:space="preserve">6.2 Milestone Structure</w:t>
      </w:r>
    </w:p>
    <w:p>
      <w:pPr>
        <w:spacing w:before="180" w:after="18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Each partnership has 3 milestones:</w:t>
      </w:r>
    </w:p>
    <w:p>
      <w:pPr>
        <w:numPr>
          <w:ilvl w:val="0"/>
          <w:numId w:val="117"/>
        </w:numPr>
        <w:spacing w:before="36" w:after="36" w:line="24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Integration Complete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Smart contracts deployed, interoperability verified</w:t>
      </w:r>
    </w:p>
    <w:p>
      <w:pPr>
        <w:numPr>
          <w:ilvl w:val="0"/>
          <w:numId w:val="117"/>
        </w:numPr>
        <w:spacing w:before="36" w:after="36" w:line="24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Volume Threshold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$X monthly volume flowing through partnership</w:t>
      </w:r>
    </w:p>
    <w:p>
      <w:pPr>
        <w:numPr>
          <w:ilvl w:val="0"/>
          <w:numId w:val="117"/>
        </w:numPr>
        <w:spacing w:before="36" w:after="36" w:line="24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Community Adoption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Y unique users from partner community</w:t>
      </w:r>
    </w:p>
    <w:p>
      <w:pPr>
        <w:spacing w:before="180" w:after="18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Revenue sharing activates at Milestone 1. Bonus allocation at Milestones 2 and 3.</w:t>
      </w: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  <w:t xml:space="preserve">6.3 Revenue Sharing</w:t>
      </w:r>
    </w:p>
    <w:p>
      <w:pPr>
        <w:spacing w:before="180" w:after="18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Default: 50/50 split on cross-protocol fees generated by the partnership.</w:t>
      </w:r>
    </w:p>
    <w:p>
      <w:pPr>
        <w:spacing w:before="180" w:after="18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Partner-originated swaps (referred by partner UI or contracts) generate fees that are split: - 50% to VibeSwap Shapley pool - 50% to partner treasury</w:t>
      </w:r>
    </w:p>
    <w:p>
      <w:pPr>
        <w:spacing w:before="180" w:after="18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This aligns incentives: both sides benefit from driving volume through the integration.</w:t>
      </w:r>
    </w:p>
    <w:p>
      <w:pPr>
        <w:spacing w:before="0" w:after="20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</w:pPr>
      <w:r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  <w:t xml:space="preserve">7. Stage 6: Reporting</w:t>
      </w: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  <w:t xml:space="preserve">7.1 Dashboard Metrics</w:t>
      </w:r>
    </w:p>
    <w:tbl>
      <w:tblPr/>
      <w:tblGrid>
        <w:gridCol w:w="3960"/>
        <w:gridCol w:w="3960"/>
      </w:tblGrid>
      <w:tr>
        <w:trPr>
          <w:trHeight w:val="1" w:hRule="atLeast"/>
          <w:jc w:val="left"/>
        </w:trPr>
        <w:tc>
          <w:tcPr>
            <w:tcW w:w="3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Metric</w:t>
            </w:r>
          </w:p>
        </w:tc>
        <w:tc>
          <w:tcPr>
            <w:tcW w:w="3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Update Frequency</w:t>
            </w:r>
          </w:p>
        </w:tc>
      </w:tr>
      <w:tr>
        <w:trPr>
          <w:trHeight w:val="1" w:hRule="atLeast"/>
          <w:jc w:val="left"/>
        </w:trPr>
        <w:tc>
          <w:tcPr>
            <w:tcW w:w="3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Total prospects in pipeline</w:t>
            </w:r>
          </w:p>
        </w:tc>
        <w:tc>
          <w:tcPr>
            <w:tcW w:w="3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Real-time</w:t>
            </w:r>
          </w:p>
        </w:tc>
      </w:tr>
      <w:tr>
        <w:trPr>
          <w:trHeight w:val="1" w:hRule="atLeast"/>
          <w:jc w:val="left"/>
        </w:trPr>
        <w:tc>
          <w:tcPr>
            <w:tcW w:w="3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Prospects by stage</w:t>
            </w:r>
          </w:p>
        </w:tc>
        <w:tc>
          <w:tcPr>
            <w:tcW w:w="3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Real-time</w:t>
            </w:r>
          </w:p>
        </w:tc>
      </w:tr>
      <w:tr>
        <w:trPr>
          <w:trHeight w:val="1" w:hRule="atLeast"/>
          <w:jc w:val="left"/>
        </w:trPr>
        <w:tc>
          <w:tcPr>
            <w:tcW w:w="3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Outreach response rate</w:t>
            </w:r>
          </w:p>
        </w:tc>
        <w:tc>
          <w:tcPr>
            <w:tcW w:w="3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Weekly</w:t>
            </w:r>
          </w:p>
        </w:tc>
      </w:tr>
      <w:tr>
        <w:trPr>
          <w:trHeight w:val="1" w:hRule="atLeast"/>
          <w:jc w:val="left"/>
        </w:trPr>
        <w:tc>
          <w:tcPr>
            <w:tcW w:w="3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Active partnerships</w:t>
            </w:r>
          </w:p>
        </w:tc>
        <w:tc>
          <w:tcPr>
            <w:tcW w:w="3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Real-time</w:t>
            </w:r>
          </w:p>
        </w:tc>
      </w:tr>
      <w:tr>
        <w:trPr>
          <w:trHeight w:val="1" w:hRule="atLeast"/>
          <w:jc w:val="left"/>
        </w:trPr>
        <w:tc>
          <w:tcPr>
            <w:tcW w:w="3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Partnership revenue (30d)</w:t>
            </w:r>
          </w:p>
        </w:tc>
        <w:tc>
          <w:tcPr>
            <w:tcW w:w="3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Daily</w:t>
            </w:r>
          </w:p>
        </w:tc>
      </w:tr>
      <w:tr>
        <w:trPr>
          <w:trHeight w:val="1" w:hRule="atLeast"/>
          <w:jc w:val="left"/>
        </w:trPr>
        <w:tc>
          <w:tcPr>
            <w:tcW w:w="3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Integration uptime</w:t>
            </w:r>
          </w:p>
        </w:tc>
        <w:tc>
          <w:tcPr>
            <w:tcW w:w="3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Real-time</w:t>
            </w:r>
          </w:p>
        </w:tc>
      </w:tr>
      <w:tr>
        <w:trPr>
          <w:trHeight w:val="1" w:hRule="atLeast"/>
          <w:jc w:val="left"/>
        </w:trPr>
        <w:tc>
          <w:tcPr>
            <w:tcW w:w="3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Partner-referred volume</w:t>
            </w:r>
          </w:p>
        </w:tc>
        <w:tc>
          <w:tcPr>
            <w:tcW w:w="3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36" w:after="36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ptos" w:hAnsi="Aptos" w:cs="Aptos" w:eastAsia="Aptos"/>
                <w:color w:val="auto"/>
                <w:spacing w:val="0"/>
                <w:position w:val="0"/>
                <w:sz w:val="24"/>
                <w:shd w:fill="auto" w:val="clear"/>
              </w:rPr>
              <w:t xml:space="preserve">Daily</w:t>
            </w:r>
          </w:p>
        </w:tc>
      </w:tr>
    </w:tbl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  <w:t xml:space="preserve">7.2 Weekly Report</w:t>
      </w:r>
    </w:p>
    <w:p>
      <w:pPr>
        <w:spacing w:before="180" w:after="18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Generated automatically every Monday:</w:t>
      </w:r>
    </w:p>
    <w:p>
      <w:pPr>
        <w:spacing w:before="0" w:after="200" w:line="240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=== Karma Weekly Partnership Report ===</w:t>
        <w:br/>
        <w:br/>
        <w:t xml:space="preserve">New Prospects: X discovered, Y evaluated</w:t>
        <w:br/>
        <w:t xml:space="preserve">Pipeline: A contacted, B responded, C meetings</w:t>
        <w:br/>
        <w:t xml:space="preserve">Active Partnerships: N (generating $X/month)</w:t>
        <w:br/>
        <w:t xml:space="preserve">Top Prospect: [Name] 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[Score] 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onsolas" w:hAnsi="Consolas" w:cs="Consolas" w:eastAsia="Consolas"/>
          <w:color w:val="auto"/>
          <w:spacing w:val="0"/>
          <w:position w:val="0"/>
          <w:sz w:val="22"/>
          <w:shd w:fill="auto" w:val="clear"/>
        </w:rPr>
        <w:t xml:space="preserve"> [Status]</w:t>
        <w:br/>
        <w:t xml:space="preserve">Action Items: [auto-generated from pipeline]</w:t>
      </w:r>
    </w:p>
    <w:p>
      <w:pPr>
        <w:spacing w:before="0" w:after="20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</w:pPr>
      <w:r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  <w:t xml:space="preserve">8. Karma for JARVIS</w:t>
      </w:r>
    </w:p>
    <w:p>
      <w:pPr>
        <w:spacing w:before="180" w:after="18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JARVIS can execute the Karma loop autonomously:</w:t>
      </w:r>
    </w:p>
    <w:p>
      <w:pPr>
        <w:numPr>
          <w:ilvl w:val="0"/>
          <w:numId w:val="146"/>
        </w:numPr>
        <w:spacing w:before="36" w:after="36" w:line="24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Discovery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Use web search tools to find prospects matching criteria</w:t>
      </w:r>
    </w:p>
    <w:p>
      <w:pPr>
        <w:numPr>
          <w:ilvl w:val="0"/>
          <w:numId w:val="146"/>
        </w:numPr>
        <w:spacing w:before="36" w:after="36" w:line="24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Evaluation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Score using the matrix, classify into tiers</w:t>
      </w:r>
    </w:p>
    <w:p>
      <w:pPr>
        <w:numPr>
          <w:ilvl w:val="0"/>
          <w:numId w:val="146"/>
        </w:numPr>
        <w:spacing w:before="36" w:after="36" w:line="24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Outreach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Draft personalized emails for human approval</w:t>
      </w:r>
    </w:p>
    <w:p>
      <w:pPr>
        <w:numPr>
          <w:ilvl w:val="0"/>
          <w:numId w:val="146"/>
        </w:numPr>
        <w:spacing w:before="36" w:after="36" w:line="24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Tracking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Update CRM entries after each interaction</w:t>
      </w:r>
    </w:p>
    <w:p>
      <w:pPr>
        <w:numPr>
          <w:ilvl w:val="0"/>
          <w:numId w:val="146"/>
        </w:numPr>
        <w:spacing w:before="36" w:after="36" w:line="240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Reporting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: Generate weekly reports and surface action items</w:t>
      </w:r>
    </w:p>
    <w:p>
      <w:pPr>
        <w:spacing w:before="180" w:after="18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Human involvement: Review outreach drafts, attend meetings, approve deal terms. Everything else is autonomous.</w:t>
      </w:r>
    </w:p>
    <w:p>
      <w:pPr>
        <w:spacing w:before="0" w:after="20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180" w:after="18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i/>
          <w:color w:val="auto"/>
          <w:spacing w:val="0"/>
          <w:position w:val="0"/>
          <w:sz w:val="24"/>
          <w:shd w:fill="auto" w:val="clear"/>
        </w:rPr>
        <w:t xml:space="preserve">Partnerships should be autonomous. We don’t chase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  <w:t xml:space="preserve">— we attract through technical credibility and execute through structured process.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num w:numId="30">
    <w:abstractNumId w:val="24"/>
  </w:num>
  <w:num w:numId="69">
    <w:abstractNumId w:val="18"/>
  </w:num>
  <w:num w:numId="110">
    <w:abstractNumId w:val="12"/>
  </w:num>
  <w:num w:numId="117">
    <w:abstractNumId w:val="6"/>
  </w:num>
  <w:num w:numId="146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