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8f96cdcc4cbed67bda46ef72d73b35b33140f8"/>
    <w:p>
      <w:pPr>
        <w:pStyle w:val="Heading1"/>
      </w:pPr>
      <w:r>
        <w:t xml:space="preserve">VibeSwap CKB Integration — Cell Model Architecture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VibeSwap on Nervos CKB is not a bytecode translation — it’s a fundamental architecture adaptation that leverages CKB’s UTXO Cell Model to create a</w:t>
      </w:r>
      <w:r>
        <w:t xml:space="preserve"> </w:t>
      </w:r>
      <w:r>
        <w:rPr>
          <w:b/>
          <w:bCs/>
        </w:rPr>
        <w:t xml:space="preserve">five-layer MEV defense</w:t>
      </w:r>
      <w:r>
        <w:t xml:space="preserve"> </w:t>
      </w:r>
      <w:r>
        <w:t xml:space="preserve">that is structurally impossible on account-based chains like Ethereum.</w:t>
      </w:r>
    </w:p>
    <w:bookmarkEnd w:id="9"/>
    <w:bookmarkStart w:id="10" w:name="five-layer-mev-defense"/>
    <w:p>
      <w:pPr>
        <w:pStyle w:val="Heading2"/>
      </w:pPr>
      <w:r>
        <w:t xml:space="preserve">Five-Layer MEV Defense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354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CKB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Infrastructure</w:t>
            </w:r>
          </w:p>
        </w:tc>
        <w:tc>
          <w:tcPr/>
          <w:p>
            <w:pPr>
              <w:pStyle w:val="Compact"/>
            </w:pPr>
            <w:r>
              <w:t xml:space="preserve">PoW-gated write access</w:t>
            </w:r>
          </w:p>
        </w:tc>
        <w:tc>
          <w:tcPr/>
          <w:p>
            <w:pPr>
              <w:pStyle w:val="Compact"/>
            </w:pPr>
            <w:r>
              <w:t xml:space="preserve">Lock script on shared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Accumulation</w:t>
            </w:r>
          </w:p>
        </w:tc>
        <w:tc>
          <w:tcPr/>
          <w:p>
            <w:pPr>
              <w:pStyle w:val="Compact"/>
            </w:pPr>
            <w:r>
              <w:t xml:space="preserve">Recursive MMR</w:t>
            </w:r>
          </w:p>
        </w:tc>
        <w:tc>
          <w:tcPr/>
          <w:p>
            <w:pPr>
              <w:pStyle w:val="Compact"/>
            </w:pPr>
            <w:r>
              <w:t xml:space="preserve">MMR peaks in auction cell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Compliance</w:t>
            </w:r>
          </w:p>
        </w:tc>
        <w:tc>
          <w:tcPr/>
          <w:p>
            <w:pPr>
              <w:pStyle w:val="Compact"/>
            </w:pPr>
            <w:r>
              <w:t xml:space="preserve">Protocol-enforced filtering</w:t>
            </w:r>
          </w:p>
        </w:tc>
        <w:tc>
          <w:tcPr/>
          <w:p>
            <w:pPr>
              <w:pStyle w:val="Compact"/>
            </w:pPr>
            <w:r>
              <w:t xml:space="preserve">ComplianceRegistry as cell_dep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Ordering</w:t>
            </w:r>
          </w:p>
        </w:tc>
        <w:tc>
          <w:tcPr/>
          <w:p>
            <w:pPr>
              <w:pStyle w:val="Compact"/>
            </w:pPr>
            <w:r>
              <w:t xml:space="preserve">Fisher-Yates shuffle</w:t>
            </w:r>
          </w:p>
        </w:tc>
        <w:tc>
          <w:tcPr/>
          <w:p>
            <w:pPr>
              <w:pStyle w:val="Compact"/>
            </w:pPr>
            <w:r>
              <w:t xml:space="preserve">Type script validates shuffle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Pricing</w:t>
            </w:r>
          </w:p>
        </w:tc>
        <w:tc>
          <w:tcPr/>
          <w:p>
            <w:pPr>
              <w:pStyle w:val="Compact"/>
            </w:pPr>
            <w:r>
              <w:t xml:space="preserve">Uniform clearing price</w:t>
            </w:r>
          </w:p>
        </w:tc>
        <w:tc>
          <w:tcPr/>
          <w:p>
            <w:pPr>
              <w:pStyle w:val="Compact"/>
            </w:pPr>
            <w:r>
              <w:t xml:space="preserve">Type script validates pricing math</w:t>
            </w:r>
          </w:p>
        </w:tc>
      </w:tr>
    </w:tbl>
    <w:p>
      <w:pPr>
        <w:pStyle w:val="BodyText"/>
      </w:pPr>
      <w:r>
        <w:rPr>
          <w:b/>
          <w:bCs/>
        </w:rPr>
        <w:t xml:space="preserve">Layer 1 is unique to CKB</w:t>
      </w:r>
      <w:r>
        <w:t xml:space="preserve"> </w:t>
      </w:r>
      <w:r>
        <w:t xml:space="preserve">— it provides MEV resistance at the infrastructure level. On Ethereum, anyone can write to shared state for the cost of gas. On CKB, writing to shared state requires solving a PoW challenge, making MEV extraction economically unviable.</w:t>
      </w:r>
    </w:p>
    <w:bookmarkEnd w:id="10"/>
    <w:bookmarkStart w:id="14" w:name="cell-architecture"/>
    <w:p>
      <w:pPr>
        <w:pStyle w:val="Heading2"/>
      </w:pPr>
      <w:r>
        <w:t xml:space="preserve">Cell Architecture</w:t>
      </w:r>
    </w:p>
    <w:bookmarkStart w:id="11" w:name="shared-state-cells-pow-gated"/>
    <w:p>
      <w:pPr>
        <w:pStyle w:val="Heading3"/>
      </w:pPr>
      <w:r>
        <w:t xml:space="preserve">Shared State Cells (PoW-Gated)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Auction Cell</w:t>
      </w:r>
      <w:r>
        <w:t xml:space="preserve">: Per trading pair, tracks batch auction lifecycle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Pool Cell</w:t>
      </w:r>
      <w:r>
        <w:t xml:space="preserve">: Per trading pair AMM, tracks reserves and TWAP</w:t>
      </w:r>
    </w:p>
    <w:bookmarkEnd w:id="11"/>
    <w:bookmarkStart w:id="12" w:name="per-user-cells-no-contention"/>
    <w:p>
      <w:pPr>
        <w:pStyle w:val="Heading3"/>
      </w:pPr>
      <w:r>
        <w:t xml:space="preserve">Per-User Cells (No Contention)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Cell</w:t>
      </w:r>
      <w:r>
        <w:t xml:space="preserve">: User’s hidden order commitment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 Position Cell</w:t>
      </w:r>
      <w:r>
        <w:t xml:space="preserve">: User’s liquidity position</w:t>
      </w:r>
    </w:p>
    <w:bookmarkEnd w:id="12"/>
    <w:bookmarkStart w:id="13" w:name="singleton-cells-read-only-dependencies"/>
    <w:p>
      <w:pPr>
        <w:pStyle w:val="Heading3"/>
      </w:pPr>
      <w:r>
        <w:t xml:space="preserve">Singleton Cells (Read-Only Dependencies)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Cell</w:t>
      </w:r>
      <w:r>
        <w:t xml:space="preserve">: Blocked address Merkle roots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 Cell</w:t>
      </w:r>
      <w:r>
        <w:t xml:space="preserve">: Protocol parameters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Cell</w:t>
      </w:r>
      <w:r>
        <w:t xml:space="preserve">: Price feeds</w:t>
      </w:r>
    </w:p>
    <w:bookmarkEnd w:id="13"/>
    <w:bookmarkEnd w:id="14"/>
    <w:bookmarkStart w:id="15" w:name="forced-inclusion-protocol"/>
    <w:p>
      <w:pPr>
        <w:pStyle w:val="Heading2"/>
      </w:pPr>
      <w:r>
        <w:t xml:space="preserve">Forced Inclusion Protocol</w:t>
      </w:r>
    </w:p>
    <w:p>
      <w:pPr>
        <w:pStyle w:val="FirstParagraph"/>
      </w:pPr>
      <w:r>
        <w:t xml:space="preserve">The most critical design element — prevents miner censorship:</w:t>
      </w:r>
    </w:p>
    <w:p>
      <w:pPr>
        <w:pStyle w:val="Compact"/>
        <w:numPr>
          <w:ilvl w:val="0"/>
          <w:numId w:val="1004"/>
        </w:numPr>
      </w:pPr>
      <w:r>
        <w:t xml:space="preserve">User creates CommitCell independently (zero contention)</w:t>
      </w:r>
    </w:p>
    <w:p>
      <w:pPr>
        <w:pStyle w:val="Compact"/>
        <w:numPr>
          <w:ilvl w:val="0"/>
          <w:numId w:val="1004"/>
        </w:numPr>
      </w:pPr>
      <w:r>
        <w:t xml:space="preserve">Miner finds PoW nonce for AuctionCell</w:t>
      </w:r>
    </w:p>
    <w:p>
      <w:pPr>
        <w:pStyle w:val="Compact"/>
        <w:numPr>
          <w:ilvl w:val="0"/>
          <w:numId w:val="1004"/>
        </w:numPr>
      </w:pPr>
      <w:r>
        <w:t xml:space="preserve">Miner MUST include ALL pending CommitCells (filtered by compliance)</w:t>
      </w:r>
    </w:p>
    <w:p>
      <w:pPr>
        <w:pStyle w:val="Compact"/>
        <w:numPr>
          <w:ilvl w:val="0"/>
          <w:numId w:val="1004"/>
        </w:numPr>
      </w:pPr>
      <w:r>
        <w:t xml:space="preserve">Type script verifies completeness — rejects incomplete aggregation</w:t>
      </w:r>
    </w:p>
    <w:p>
      <w:pPr>
        <w:pStyle w:val="Compact"/>
        <w:numPr>
          <w:ilvl w:val="0"/>
          <w:numId w:val="1004"/>
        </w:numPr>
      </w:pPr>
      <w:r>
        <w:t xml:space="preserve">Miner = compensated aggregator with ZERO discretion</w:t>
      </w:r>
    </w:p>
    <w:bookmarkEnd w:id="15"/>
    <w:bookmarkStart w:id="16" w:name="porting-map"/>
    <w:p>
      <w:pPr>
        <w:pStyle w:val="Heading2"/>
      </w:pPr>
      <w:r>
        <w:t xml:space="preserve">Porting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Solidity</w:t>
            </w:r>
          </w:p>
        </w:tc>
        <w:tc>
          <w:tcPr/>
          <w:p>
            <w:pPr>
              <w:pStyle w:val="Compact"/>
            </w:pPr>
            <w:r>
              <w:t xml:space="preserve">CKB Script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CommitRevealAuction.sol</w:t>
            </w:r>
          </w:p>
        </w:tc>
        <w:tc>
          <w:tcPr/>
          <w:p>
            <w:pPr>
              <w:pStyle w:val="Compact"/>
            </w:pPr>
            <w:r>
              <w:t xml:space="preserve">batch-auction-type</w:t>
            </w:r>
          </w:p>
        </w:tc>
        <w:tc>
          <w:tcPr/>
          <w:p>
            <w:pPr>
              <w:pStyle w:val="Compact"/>
            </w:pPr>
            <w:r>
              <w:t xml:space="preserve">State machine → cell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VibeAMM.sol</w:t>
            </w:r>
          </w:p>
        </w:tc>
        <w:tc>
          <w:tcPr/>
          <w:p>
            <w:pPr>
              <w:pStyle w:val="Compact"/>
            </w:pPr>
            <w:r>
              <w:t xml:space="preserve">amm-pool-type</w:t>
            </w:r>
          </w:p>
        </w:tc>
        <w:tc>
          <w:tcPr/>
          <w:p>
            <w:pPr>
              <w:pStyle w:val="Compact"/>
            </w:pPr>
            <w:r>
              <w:t xml:space="preserve">Pool struct → cell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VibeSwapCore.sol</w:t>
            </w:r>
          </w:p>
        </w:tc>
        <w:tc>
          <w:tcPr/>
          <w:p>
            <w:pPr>
              <w:pStyle w:val="Compact"/>
            </w:pPr>
            <w:r>
              <w:t xml:space="preserve">Merged into batch-auction-type</w:t>
            </w:r>
          </w:p>
        </w:tc>
        <w:tc>
          <w:tcPr/>
          <w:p>
            <w:pPr>
              <w:pStyle w:val="Compact"/>
            </w:pPr>
            <w:r>
              <w:t xml:space="preserve">Atomic CKB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CircuitBreaker.sol</w:t>
            </w:r>
          </w:p>
        </w:tc>
        <w:tc>
          <w:tcPr/>
          <w:p>
            <w:pPr>
              <w:pStyle w:val="Compact"/>
            </w:pPr>
            <w:r>
              <w:t xml:space="preserve">Config cell_dep + type script checks</w:t>
            </w:r>
          </w:p>
        </w:tc>
        <w:tc>
          <w:tcPr/>
          <w:p>
            <w:pPr>
              <w:pStyle w:val="Compact"/>
            </w:pPr>
            <w:r>
              <w:t xml:space="preserve">Abstract → config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ComplianceRegistry.sol</w:t>
            </w:r>
          </w:p>
        </w:tc>
        <w:tc>
          <w:tcPr/>
          <w:p>
            <w:pPr>
              <w:pStyle w:val="Compact"/>
            </w:pPr>
            <w:r>
              <w:t xml:space="preserve">compliance-type + Merkle proofs</w:t>
            </w:r>
          </w:p>
        </w:tc>
        <w:tc>
          <w:tcPr/>
          <w:p>
            <w:pPr>
              <w:pStyle w:val="Compact"/>
            </w:pPr>
            <w:r>
              <w:t xml:space="preserve">mapping → Merkle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DeterministicShuffle.sol</w:t>
            </w:r>
          </w:p>
        </w:tc>
        <w:tc>
          <w:tcPr/>
          <w:p>
            <w:pPr>
              <w:pStyle w:val="Compact"/>
            </w:pPr>
            <w:r>
              <w:t xml:space="preserve">vibeswap-math::shuffle</w:t>
            </w:r>
          </w:p>
        </w:tc>
        <w:tc>
          <w:tcPr/>
          <w:p>
            <w:pPr>
              <w:pStyle w:val="Compact"/>
            </w:pPr>
            <w:r>
              <w:t xml:space="preserve">Direct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BatchMath.sol</w:t>
            </w:r>
          </w:p>
        </w:tc>
        <w:tc>
          <w:tcPr/>
          <w:p>
            <w:pPr>
              <w:pStyle w:val="Compact"/>
            </w:pPr>
            <w:r>
              <w:t xml:space="preserve">vibeswap-math::batch_math</w:t>
            </w:r>
          </w:p>
        </w:tc>
        <w:tc>
          <w:tcPr/>
          <w:p>
            <w:pPr>
              <w:pStyle w:val="Compact"/>
            </w:pPr>
            <w:r>
              <w:t xml:space="preserve">Direct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ProofOfWorkLib.sol</w:t>
            </w:r>
          </w:p>
        </w:tc>
        <w:tc>
          <w:tcPr/>
          <w:p>
            <w:pPr>
              <w:pStyle w:val="Compact"/>
            </w:pPr>
            <w:r>
              <w:t xml:space="preserve">vibeswap-pow</w:t>
            </w:r>
          </w:p>
        </w:tc>
        <w:tc>
          <w:tcPr/>
          <w:p>
            <w:pPr>
              <w:pStyle w:val="Compact"/>
            </w:pPr>
            <w:r>
              <w:t xml:space="preserve">Split: lock +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TWAPOracle.sol</w:t>
            </w:r>
          </w:p>
        </w:tc>
        <w:tc>
          <w:tcPr/>
          <w:p>
            <w:pPr>
              <w:pStyle w:val="Compact"/>
            </w:pPr>
            <w:r>
              <w:t xml:space="preserve">vibeswap-math::twap</w:t>
            </w:r>
          </w:p>
        </w:tc>
        <w:tc>
          <w:tcPr/>
          <w:p>
            <w:pPr>
              <w:pStyle w:val="Compact"/>
            </w:pPr>
            <w:r>
              <w:t xml:space="preserve">Direct port</w:t>
            </w:r>
          </w:p>
        </w:tc>
      </w:tr>
    </w:tbl>
    <w:bookmarkEnd w:id="16"/>
    <w:bookmarkStart w:id="17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ckb/</w:t>
      </w:r>
      <w:r>
        <w:br/>
      </w:r>
      <w:r>
        <w:rPr>
          <w:rStyle w:val="VerbatimChar"/>
        </w:rPr>
        <w:t xml:space="preserve">├── Cargo.toml                          # Workspace root</w:t>
      </w:r>
      <w:r>
        <w:br/>
      </w:r>
      <w:r>
        <w:rPr>
          <w:rStyle w:val="VerbatimChar"/>
        </w:rPr>
        <w:t xml:space="preserve">├── schemas/cells.mol                   # Molecule serialization schemas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vibeswap-math/src/lib.rs       # BatchMath, Shuffle, TWAP</w:t>
      </w:r>
      <w:r>
        <w:br/>
      </w:r>
      <w:r>
        <w:rPr>
          <w:rStyle w:val="VerbatimChar"/>
        </w:rPr>
        <w:t xml:space="preserve">│   ├── mmr/src/lib.rs                 # Recursive MMR</w:t>
      </w:r>
      <w:r>
        <w:br/>
      </w:r>
      <w:r>
        <w:rPr>
          <w:rStyle w:val="VerbatimChar"/>
        </w:rPr>
        <w:t xml:space="preserve">│   ├── pow/src/lib.rs                 # PoW verification + difficulty</w:t>
      </w:r>
      <w:r>
        <w:br/>
      </w:r>
      <w:r>
        <w:rPr>
          <w:rStyle w:val="VerbatimChar"/>
        </w:rPr>
        <w:t xml:space="preserve">│   └── types/src/lib.rs               # Shared types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pow-lock/src/main.rs           # PoW lock script</w:t>
      </w:r>
      <w:r>
        <w:br/>
      </w:r>
      <w:r>
        <w:rPr>
          <w:rStyle w:val="VerbatimChar"/>
        </w:rPr>
        <w:t xml:space="preserve">│   ├── batch-auction-type/src/main.rs # Core auction state machine</w:t>
      </w:r>
      <w:r>
        <w:br/>
      </w:r>
      <w:r>
        <w:rPr>
          <w:rStyle w:val="VerbatimChar"/>
        </w:rPr>
        <w:t xml:space="preserve">│   ├── commit-type/src/main.rs        # Commit cell validation</w:t>
      </w:r>
      <w:r>
        <w:br/>
      </w:r>
      <w:r>
        <w:rPr>
          <w:rStyle w:val="VerbatimChar"/>
        </w:rPr>
        <w:t xml:space="preserve">│   ├── amm-pool-type/src/main.rs      # AMM pool validation</w:t>
      </w:r>
      <w:r>
        <w:br/>
      </w:r>
      <w:r>
        <w:rPr>
          <w:rStyle w:val="VerbatimChar"/>
        </w:rPr>
        <w:t xml:space="preserve">│   ├── lp-position-type/src/main.rs   # LP position tracking</w:t>
      </w:r>
      <w:r>
        <w:br/>
      </w:r>
      <w:r>
        <w:rPr>
          <w:rStyle w:val="VerbatimChar"/>
        </w:rPr>
        <w:t xml:space="preserve">│   ├── compliance-type/src/main.rs    # Compliance registry</w:t>
      </w:r>
      <w:r>
        <w:br/>
      </w:r>
      <w:r>
        <w:rPr>
          <w:rStyle w:val="VerbatimChar"/>
        </w:rPr>
        <w:t xml:space="preserve">│   ├── config-type/src/main.rs        # Protocol config</w:t>
      </w:r>
      <w:r>
        <w:br/>
      </w:r>
      <w:r>
        <w:rPr>
          <w:rStyle w:val="VerbatimChar"/>
        </w:rPr>
        <w:t xml:space="preserve">│   └── oracle-type/src/main.rs        # Oracle price feeds</w:t>
      </w:r>
      <w:r>
        <w:br/>
      </w:r>
      <w:r>
        <w:rPr>
          <w:rStyle w:val="VerbatimChar"/>
        </w:rPr>
        <w:t xml:space="preserve">├── sdk/</w:t>
      </w:r>
      <w:r>
        <w:br/>
      </w:r>
      <w:r>
        <w:rPr>
          <w:rStyle w:val="VerbatimChar"/>
        </w:rPr>
        <w:t xml:space="preserve">│   ├── src/lib.rs                     # Transaction builder</w:t>
      </w:r>
      <w:r>
        <w:br/>
      </w:r>
      <w:r>
        <w:rPr>
          <w:rStyle w:val="VerbatimChar"/>
        </w:rPr>
        <w:t xml:space="preserve">│   └── src/miner.rs                   # PoW mining client</w:t>
      </w:r>
      <w:r>
        <w:br/>
      </w:r>
      <w:r>
        <w:rPr>
          <w:rStyle w:val="VerbatimChar"/>
        </w:rPr>
        <w:t xml:space="preserve">└── tests/                             # Integration + adversarial tests</w:t>
      </w:r>
    </w:p>
    <w:bookmarkEnd w:id="17"/>
    <w:bookmarkStart w:id="18" w:name="key-design-decisions"/>
    <w:p>
      <w:pPr>
        <w:pStyle w:val="Heading2"/>
      </w:pPr>
      <w:r>
        <w:t xml:space="preserve">Key Design Decisions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 over Operator</w:t>
      </w:r>
      <w:r>
        <w:t xml:space="preserve">: Permissionless, self-adjusting, no centralization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Forced Inclusion</w:t>
      </w:r>
      <w:r>
        <w:t xml:space="preserve">: Zero miner discretion, structural censorship resistance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Recursive MMR</w:t>
      </w:r>
      <w:r>
        <w:t xml:space="preserve">: O(log n) historical proofs, Bitcoin SPV compatible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Merged Orchestrator</w:t>
      </w:r>
      <w:r>
        <w:t xml:space="preserve">: Single atomic tx replaces cross-contract calls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Merkle Compliance</w:t>
      </w:r>
      <w:r>
        <w:t xml:space="preserve">: O(1) storage, O(log n) verification per address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Epoch-Based Timing</w:t>
      </w:r>
      <w:r>
        <w:t xml:space="preserve">: CKB block numbers for phase transitions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2026-03-16T12:18:21Z</dcterms:created>
  <dcterms:modified xsi:type="dcterms:W3CDTF">2026-03-16T12:18:21Z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