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onetization-framework-no-rent-seeking"/>
    <w:p>
      <w:pPr>
        <w:pStyle w:val="Heading1"/>
      </w:pPr>
      <w:r>
        <w:t xml:space="preserve">Monetization Framework — No Rent-Seeking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Design</w:t>
      </w:r>
      <w:r>
        <w:t xml:space="preserve"> </w:t>
      </w:r>
      <w:r>
        <w:rPr>
          <w:b/>
          <w:bCs/>
        </w:rPr>
        <w:t xml:space="preserve">Principle</w:t>
      </w:r>
      <w:r>
        <w:t xml:space="preserve">: All value flows to participants, not extractors. No pre-mine. No VC cut.</w:t>
      </w:r>
      <w:r>
        <w:t xml:space="preserve"> </w:t>
      </w:r>
      <w:r>
        <w:rPr>
          <w:b/>
          <w:bCs/>
        </w:rPr>
        <w:t xml:space="preserve">Author</w:t>
      </w:r>
      <w:r>
        <w:t xml:space="preserve">: Will + JARVIS</w:t>
      </w:r>
    </w:p>
    <w:p>
      <w:r>
        <w:pict>
          <v:rect style="width:0;height:1.5pt" o:hralign="center" o:hrstd="t" o:hr="t"/>
        </w:pict>
      </w:r>
    </w:p>
    <w:bookmarkStart w:id="15" w:name="revenue-streams"/>
    <w:p>
      <w:pPr>
        <w:pStyle w:val="Heading2"/>
      </w:pPr>
      <w:r>
        <w:t xml:space="preserve">Revenue Streams</w:t>
      </w:r>
    </w:p>
    <w:bookmarkStart w:id="9" w:name="protocol-fees-0.05-on-swaps"/>
    <w:p>
      <w:pPr>
        <w:pStyle w:val="Heading3"/>
      </w:pPr>
      <w:r>
        <w:t xml:space="preserve">1. Protocol Fees (0.05% on swaps)</w:t>
      </w:r>
    </w:p>
    <w:p>
      <w:pPr>
        <w:pStyle w:val="Compact"/>
        <w:numPr>
          <w:ilvl w:val="0"/>
          <w:numId w:val="1001"/>
        </w:numPr>
      </w:pPr>
      <w:r>
        <w:t xml:space="preserve">Distributed via Shapley value to liquidity providers and governance stakers</w:t>
      </w:r>
    </w:p>
    <w:p>
      <w:pPr>
        <w:pStyle w:val="Compact"/>
        <w:numPr>
          <w:ilvl w:val="0"/>
          <w:numId w:val="1001"/>
        </w:numPr>
      </w:pPr>
      <w:r>
        <w:t xml:space="preserve">No protocol treasury cut — 100% goes to contributors</w:t>
      </w:r>
    </w:p>
    <w:p>
      <w:pPr>
        <w:pStyle w:val="Compact"/>
        <w:numPr>
          <w:ilvl w:val="0"/>
          <w:numId w:val="1001"/>
        </w:numPr>
      </w:pPr>
      <w:r>
        <w:t xml:space="preserve">Fee rate adjustable by governance (with decay — see Ungovernance)</w:t>
      </w:r>
    </w:p>
    <w:bookmarkEnd w:id="9"/>
    <w:bookmarkStart w:id="10" w:name="batch-auction-priority-bids"/>
    <w:p>
      <w:pPr>
        <w:pStyle w:val="Heading3"/>
      </w:pPr>
      <w:r>
        <w:t xml:space="preserve">2. Batch Auction Priority Bids</w:t>
      </w:r>
    </w:p>
    <w:p>
      <w:pPr>
        <w:pStyle w:val="Compact"/>
        <w:numPr>
          <w:ilvl w:val="0"/>
          <w:numId w:val="1002"/>
        </w:numPr>
      </w:pPr>
      <w:r>
        <w:t xml:space="preserve">Users pay for urgent execution within a batch</w:t>
      </w:r>
    </w:p>
    <w:p>
      <w:pPr>
        <w:pStyle w:val="Compact"/>
        <w:numPr>
          <w:ilvl w:val="0"/>
          <w:numId w:val="1002"/>
        </w:numPr>
      </w:pPr>
      <w:r>
        <w:t xml:space="preserve">Does NOT affect clearing price (uniform price preserved)</w:t>
      </w:r>
    </w:p>
    <w:p>
      <w:pPr>
        <w:pStyle w:val="Compact"/>
        <w:numPr>
          <w:ilvl w:val="0"/>
          <w:numId w:val="1002"/>
        </w:numPr>
      </w:pPr>
      <w:r>
        <w:t xml:space="preserve">Priority fee distributed to batch participants who provided liquidity</w:t>
      </w:r>
    </w:p>
    <w:p>
      <w:pPr>
        <w:pStyle w:val="Compact"/>
        <w:numPr>
          <w:ilvl w:val="0"/>
          <w:numId w:val="1002"/>
        </w:numPr>
      </w:pPr>
      <w:r>
        <w:t xml:space="preserve">Mechanism: sealed-bid priority auction within commit phase</w:t>
      </w:r>
    </w:p>
    <w:bookmarkEnd w:id="10"/>
    <w:bookmarkStart w:id="11" w:name="insurance-pool-premiums"/>
    <w:p>
      <w:pPr>
        <w:pStyle w:val="Heading3"/>
      </w:pPr>
      <w:r>
        <w:t xml:space="preserve">3. Insurance Pool Premiums</w:t>
      </w:r>
    </w:p>
    <w:p>
      <w:pPr>
        <w:pStyle w:val="Compact"/>
        <w:numPr>
          <w:ilvl w:val="0"/>
          <w:numId w:val="1003"/>
        </w:numPr>
      </w:pPr>
      <w:r>
        <w:t xml:space="preserve">Users pay small fee for liquidation protection (ILProtectionVault)</w:t>
      </w:r>
    </w:p>
    <w:p>
      <w:pPr>
        <w:pStyle w:val="Compact"/>
        <w:numPr>
          <w:ilvl w:val="0"/>
          <w:numId w:val="1003"/>
        </w:numPr>
      </w:pPr>
      <w:r>
        <w:t xml:space="preserve">Premium scales with coverage amount and pool utilization</w:t>
      </w:r>
    </w:p>
    <w:p>
      <w:pPr>
        <w:pStyle w:val="Compact"/>
        <w:numPr>
          <w:ilvl w:val="0"/>
          <w:numId w:val="1003"/>
        </w:numPr>
      </w:pPr>
      <w:r>
        <w:t xml:space="preserve">Premiums fund the insurance pool — mutualized risk</w:t>
      </w:r>
    </w:p>
    <w:p>
      <w:pPr>
        <w:pStyle w:val="Compact"/>
        <w:numPr>
          <w:ilvl w:val="0"/>
          <w:numId w:val="1003"/>
        </w:numPr>
      </w:pPr>
      <w:r>
        <w:t xml:space="preserve">Shapley-weighted payouts based on contribution to pool stability</w:t>
      </w:r>
    </w:p>
    <w:bookmarkEnd w:id="11"/>
    <w:bookmarkStart w:id="12" w:name="yield-tokenization-fees"/>
    <w:p>
      <w:pPr>
        <w:pStyle w:val="Heading3"/>
      </w:pPr>
      <w:r>
        <w:t xml:space="preserve">4. Yield Tokenization Fees</w:t>
      </w:r>
    </w:p>
    <w:p>
      <w:pPr>
        <w:pStyle w:val="Compact"/>
        <w:numPr>
          <w:ilvl w:val="0"/>
          <w:numId w:val="1004"/>
        </w:numPr>
      </w:pPr>
      <w:r>
        <w:t xml:space="preserve">Charge on Contribution Yield Token (CYT) minting</w:t>
      </w:r>
    </w:p>
    <w:p>
      <w:pPr>
        <w:pStyle w:val="Compact"/>
        <w:numPr>
          <w:ilvl w:val="0"/>
          <w:numId w:val="1004"/>
        </w:numPr>
      </w:pPr>
      <w:r>
        <w:t xml:space="preserve">Fee: 0.1% of tokenized value</w:t>
      </w:r>
    </w:p>
    <w:p>
      <w:pPr>
        <w:pStyle w:val="Compact"/>
        <w:numPr>
          <w:ilvl w:val="0"/>
          <w:numId w:val="1004"/>
        </w:numPr>
      </w:pPr>
      <w:r>
        <w:t xml:space="preserve">Funds the DAG contribution rewards</w:t>
      </w:r>
    </w:p>
    <w:p>
      <w:pPr>
        <w:pStyle w:val="Compact"/>
        <w:numPr>
          <w:ilvl w:val="0"/>
          <w:numId w:val="1004"/>
        </w:numPr>
      </w:pPr>
      <w:r>
        <w:t xml:space="preserve">Creates virtuous cycle: more tokenization → more rewards → more contributions</w:t>
      </w:r>
    </w:p>
    <w:bookmarkEnd w:id="12"/>
    <w:bookmarkStart w:id="13" w:name="governance-proposal-deposits"/>
    <w:p>
      <w:pPr>
        <w:pStyle w:val="Heading3"/>
      </w:pPr>
      <w:r>
        <w:t xml:space="preserve">5. Governance Proposal Deposits</w:t>
      </w:r>
    </w:p>
    <w:p>
      <w:pPr>
        <w:pStyle w:val="Compact"/>
        <w:numPr>
          <w:ilvl w:val="0"/>
          <w:numId w:val="1005"/>
        </w:numPr>
      </w:pPr>
      <w:r>
        <w:t xml:space="preserve">Proposers stake tokens to submit governance proposals</w:t>
      </w:r>
    </w:p>
    <w:p>
      <w:pPr>
        <w:pStyle w:val="Compact"/>
        <w:numPr>
          <w:ilvl w:val="0"/>
          <w:numId w:val="1005"/>
        </w:numPr>
      </w:pPr>
      <w:r>
        <w:t xml:space="preserve">Deposit returned if proposal passes or is voted down in good faith</w:t>
      </w:r>
    </w:p>
    <w:p>
      <w:pPr>
        <w:pStyle w:val="Compact"/>
        <w:numPr>
          <w:ilvl w:val="0"/>
          <w:numId w:val="1005"/>
        </w:numPr>
      </w:pPr>
      <w:r>
        <w:t xml:space="preserve">Slashed if proposal is flagged as malicious by tribunal</w:t>
      </w:r>
    </w:p>
    <w:p>
      <w:pPr>
        <w:pStyle w:val="Compact"/>
        <w:numPr>
          <w:ilvl w:val="0"/>
          <w:numId w:val="1005"/>
        </w:numPr>
      </w:pPr>
      <w:r>
        <w:t xml:space="preserve">Prevents governance spam without gatekeeping</w:t>
      </w:r>
    </w:p>
    <w:bookmarkEnd w:id="13"/>
    <w:bookmarkStart w:id="14" w:name="ai-agent-services-x402-micropayments"/>
    <w:p>
      <w:pPr>
        <w:pStyle w:val="Heading3"/>
      </w:pPr>
      <w:r>
        <w:t xml:space="preserve">6. AI Agent Services (x402 Micropayments)</w:t>
      </w:r>
    </w:p>
    <w:p>
      <w:pPr>
        <w:pStyle w:val="Compact"/>
        <w:numPr>
          <w:ilvl w:val="0"/>
          <w:numId w:val="1006"/>
        </w:numPr>
      </w:pPr>
      <w:r>
        <w:t xml:space="preserve">JARVIS offers paid analysis: portfolio review, risk assessment, strategy</w:t>
      </w:r>
    </w:p>
    <w:p>
      <w:pPr>
        <w:pStyle w:val="Compact"/>
        <w:numPr>
          <w:ilvl w:val="0"/>
          <w:numId w:val="1006"/>
        </w:numPr>
      </w:pPr>
      <w:r>
        <w:t xml:space="preserve">Payment via x402 protocol (HTTP 402 Payment Required)</w:t>
      </w:r>
    </w:p>
    <w:p>
      <w:pPr>
        <w:pStyle w:val="Compact"/>
        <w:numPr>
          <w:ilvl w:val="0"/>
          <w:numId w:val="1006"/>
        </w:numPr>
      </w:pPr>
      <w:r>
        <w:t xml:space="preserve">Micropayment per query (sub-cent to dollars based on complexity)</w:t>
      </w:r>
    </w:p>
    <w:p>
      <w:pPr>
        <w:pStyle w:val="Compact"/>
        <w:numPr>
          <w:ilvl w:val="0"/>
          <w:numId w:val="1006"/>
        </w:numPr>
      </w:pPr>
      <w:r>
        <w:t xml:space="preserve">Revenue flows to autonomous treasury for DAG growth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fee-distribution"/>
    <w:p>
      <w:pPr>
        <w:pStyle w:val="Heading2"/>
      </w:pPr>
      <w:r>
        <w:t xml:space="preserve">Fee Distribution</w:t>
      </w:r>
    </w:p>
    <w:p>
      <w:pPr>
        <w:pStyle w:val="SourceCode"/>
      </w:pPr>
      <w:r>
        <w:rPr>
          <w:rStyle w:val="VerbatimChar"/>
        </w:rPr>
        <w:t xml:space="preserve">Swap Fee (0.05%)</w:t>
      </w:r>
      <w:r>
        <w:br/>
      </w:r>
      <w:r>
        <w:rPr>
          <w:rStyle w:val="VerbatimChar"/>
        </w:rPr>
        <w:t xml:space="preserve">├── Liquidity Providers (Shapley-weighted)     70%</w:t>
      </w:r>
      <w:r>
        <w:br/>
      </w:r>
      <w:r>
        <w:rPr>
          <w:rStyle w:val="VerbatimChar"/>
        </w:rPr>
        <w:t xml:space="preserve">├── Governance Stakers                         20%</w:t>
      </w:r>
      <w:r>
        <w:br/>
      </w:r>
      <w:r>
        <w:rPr>
          <w:rStyle w:val="VerbatimChar"/>
        </w:rPr>
        <w:t xml:space="preserve">└── Autonomous Treasury (DAG growth)           10%</w:t>
      </w:r>
      <w:r>
        <w:br/>
      </w:r>
      <w:r>
        <w:br/>
      </w:r>
      <w:r>
        <w:rPr>
          <w:rStyle w:val="VerbatimChar"/>
        </w:rPr>
        <w:t xml:space="preserve">Priority Bid Revenue</w:t>
      </w:r>
      <w:r>
        <w:br/>
      </w:r>
      <w:r>
        <w:rPr>
          <w:rStyle w:val="VerbatimChar"/>
        </w:rPr>
        <w:t xml:space="preserve">├── Batch Liquidity Providers                  80%</w:t>
      </w:r>
      <w:r>
        <w:br/>
      </w:r>
      <w:r>
        <w:rPr>
          <w:rStyle w:val="VerbatimChar"/>
        </w:rPr>
        <w:t xml:space="preserve">└── Protocol Insurance Pool                    20%</w:t>
      </w:r>
      <w:r>
        <w:br/>
      </w:r>
      <w:r>
        <w:br/>
      </w:r>
      <w:r>
        <w:rPr>
          <w:rStyle w:val="VerbatimChar"/>
        </w:rPr>
        <w:t xml:space="preserve">Insurance Premiums</w:t>
      </w:r>
      <w:r>
        <w:br/>
      </w:r>
      <w:r>
        <w:rPr>
          <w:rStyle w:val="VerbatimChar"/>
        </w:rPr>
        <w:t xml:space="preserve">└── Insurance Pool (100% — mutualized)</w:t>
      </w:r>
      <w:r>
        <w:br/>
      </w:r>
      <w:r>
        <w:br/>
      </w:r>
      <w:r>
        <w:rPr>
          <w:rStyle w:val="VerbatimChar"/>
        </w:rPr>
        <w:t xml:space="preserve">CYT Minting Fees</w:t>
      </w:r>
      <w:r>
        <w:br/>
      </w:r>
      <w:r>
        <w:rPr>
          <w:rStyle w:val="VerbatimChar"/>
        </w:rPr>
        <w:t xml:space="preserve">└── DAG Contribution Rewards (100%)</w:t>
      </w:r>
      <w:r>
        <w:br/>
      </w:r>
      <w:r>
        <w:br/>
      </w:r>
      <w:r>
        <w:rPr>
          <w:rStyle w:val="VerbatimChar"/>
        </w:rPr>
        <w:t xml:space="preserve">Proposal Deposits (if slashed)</w:t>
      </w:r>
      <w:r>
        <w:br/>
      </w:r>
      <w:r>
        <w:rPr>
          <w:rStyle w:val="VerbatimChar"/>
        </w:rPr>
        <w:t xml:space="preserve">└── Treasury Stabilizer</w:t>
      </w:r>
      <w:r>
        <w:br/>
      </w:r>
      <w:r>
        <w:br/>
      </w:r>
      <w:r>
        <w:rPr>
          <w:rStyle w:val="VerbatimChar"/>
        </w:rPr>
        <w:t xml:space="preserve">x402 AI Services</w:t>
      </w:r>
      <w:r>
        <w:br/>
      </w:r>
      <w:r>
        <w:rPr>
          <w:rStyle w:val="VerbatimChar"/>
        </w:rPr>
        <w:t xml:space="preserve">├── Autonomous Treasury                        50%</w:t>
      </w:r>
      <w:r>
        <w:br/>
      </w:r>
      <w:r>
        <w:rPr>
          <w:rStyle w:val="VerbatimChar"/>
        </w:rPr>
        <w:t xml:space="preserve">└── Protocol-Owned Liquidity                   50%</w:t>
      </w:r>
    </w:p>
    <w:bookmarkStart w:id="16" w:name="X8745b4202b5be7ab230908b13d5abd94592a0e6"/>
    <w:p>
      <w:pPr>
        <w:pStyle w:val="Heading3"/>
      </w:pPr>
      <w:r>
        <w:t xml:space="preserve">7. Frontend Token (Separate Monetization Layer)</w:t>
      </w:r>
    </w:p>
    <w:p>
      <w:pPr>
        <w:pStyle w:val="FirstParagraph"/>
      </w:pPr>
      <w:r>
        <w:t xml:space="preserve">The protocol backend is a</w:t>
      </w:r>
      <w:r>
        <w:t xml:space="preserve"> </w:t>
      </w:r>
      <w:r>
        <w:rPr>
          <w:b/>
          <w:bCs/>
        </w:rPr>
        <w:t xml:space="preserve">common good</w:t>
      </w:r>
      <w:r>
        <w:t xml:space="preserve"> </w:t>
      </w:r>
      <w:r>
        <w:t xml:space="preserve">— open source, forkable, no rent extraction. But the frontend is a distinct product, privately owned, and can be monetized independently — just like Trust Wallet created TWT while remaining a wallet for open protocols.</w:t>
      </w:r>
    </w:p>
    <w:p>
      <w:pPr>
        <w:pStyle w:val="BodyText"/>
      </w:pPr>
      <w:r>
        <w:rPr>
          <w:b/>
          <w:bCs/>
        </w:rPr>
        <w:t xml:space="preserve">$WILL Token:</w:t>
      </w:r>
      <w:r>
        <w:t xml:space="preserve"> </w:t>
      </w:r>
      <w:r>
        <w:t xml:space="preserve">- Ticker: WILL | Name: WILL</w:t>
      </w:r>
      <w:r>
        <w:t xml:space="preserve"> </w:t>
      </w:r>
      <w:r>
        <w:t xml:space="preserve">- Issued by Will (frontend operator), not by the protocol</w:t>
      </w:r>
      <w:r>
        <w:t xml:space="preserve"> </w:t>
      </w:r>
      <w:r>
        <w:t xml:space="preserve">- Can be fair-launched or sold to VCs — clean separation from backend economics</w:t>
      </w:r>
      <w:r>
        <w:t xml:space="preserve"> </w:t>
      </w:r>
      <w:r>
        <w:t xml:space="preserve">- Utility: premium features, ad-free experience, priority support, governance over frontend-specific decisions</w:t>
      </w:r>
      <w:r>
        <w:t xml:space="preserve"> </w:t>
      </w:r>
      <w:r>
        <w:t xml:space="preserve">- Does NOT affect swap fees, Shapley distribution, or any protocol-level mechanics</w:t>
      </w:r>
      <w:r>
        <w:t xml:space="preserve"> </w:t>
      </w:r>
      <w:r>
        <w:t xml:space="preserve">- Revenue from token sale funds frontend development, UX improvements, and marketing</w:t>
      </w:r>
    </w:p>
    <w:p>
      <w:pPr>
        <w:pStyle w:val="BodyText"/>
      </w:pPr>
      <w:r>
        <w:rPr>
          <w:b/>
          <w:bCs/>
        </w:rPr>
        <w:t xml:space="preserve">Personal Frontend DAO:</w:t>
      </w:r>
      <w:r>
        <w:t xml:space="preserve"> </w:t>
      </w:r>
      <w:r>
        <w:t xml:space="preserve">- Every builder can have their own frontend token — their decentralized business soul on web3</w:t>
      </w:r>
      <w:r>
        <w:t xml:space="preserve"> </w:t>
      </w:r>
      <w:r>
        <w:t xml:space="preserve">- The frontend is your brand, your UX, your community. The backend is the common good.</w:t>
      </w:r>
      <w:r>
        <w:t xml:space="preserve"> </w:t>
      </w:r>
      <w:r>
        <w:t xml:space="preserve">- This pattern scales: thousands of frontends, one shared protocol, each frontend with its own DAO</w:t>
      </w:r>
      <w:r>
        <w:t xml:space="preserve"> </w:t>
      </w:r>
      <w:r>
        <w:t xml:space="preserve">- Starts a trend of personal frontend DAOs — your on-chain business identity</w:t>
      </w:r>
    </w:p>
    <w:p>
      <w:pPr>
        <w:pStyle w:val="BodyText"/>
      </w:pPr>
      <w:r>
        <w:rPr>
          <w:b/>
          <w:bCs/>
        </w:rPr>
        <w:t xml:space="preserve">Why this works:</w:t>
      </w:r>
      <w:r>
        <w:t xml:space="preserve"> </w:t>
      </w:r>
      <w:r>
        <w:t xml:space="preserve">- Backend stays credibly neutral (no token capture)</w:t>
      </w:r>
      <w:r>
        <w:t xml:space="preserve"> </w:t>
      </w:r>
      <w:r>
        <w:t xml:space="preserve">- Frontend competes on merit (anyone can build an alternative frontend)</w:t>
      </w:r>
      <w:r>
        <w:t xml:space="preserve"> </w:t>
      </w:r>
      <w:r>
        <w:t xml:space="preserve">- Clean regulatory separation — frontend token ≠ protocol governance token</w:t>
      </w:r>
      <w:r>
        <w:t xml:space="preserve"> </w:t>
      </w:r>
      <w:r>
        <w:t xml:space="preserve">- Precedent: Trust Wallet (TWT), 1inch (1INCH frontend incentives), MetaMask (planned token)</w:t>
      </w:r>
      <w:r>
        <w:t xml:space="preserve"> </w:t>
      </w:r>
      <w:r>
        <w:t xml:space="preserve">- Novel: personal frontend DAOs as web3 business identity — WILL is the first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what-this-is-not"/>
    <w:p>
      <w:pPr>
        <w:pStyle w:val="Heading2"/>
      </w:pPr>
      <w:r>
        <w:t xml:space="preserve">What This Is NOT</w:t>
      </w:r>
    </w:p>
    <w:p>
      <w:pPr>
        <w:pStyle w:val="Compact"/>
        <w:numPr>
          <w:ilvl w:val="0"/>
          <w:numId w:val="1007"/>
        </w:numPr>
      </w:pPr>
      <w:r>
        <w:t xml:space="preserve">No pre-mine or founder allocation</w:t>
      </w:r>
    </w:p>
    <w:p>
      <w:pPr>
        <w:pStyle w:val="Compact"/>
        <w:numPr>
          <w:ilvl w:val="0"/>
          <w:numId w:val="1007"/>
        </w:numPr>
      </w:pPr>
      <w:r>
        <w:t xml:space="preserve">No VC tokens or investor lockups</w:t>
      </w:r>
    </w:p>
    <w:p>
      <w:pPr>
        <w:pStyle w:val="Compact"/>
        <w:numPr>
          <w:ilvl w:val="0"/>
          <w:numId w:val="1007"/>
        </w:numPr>
      </w:pPr>
      <w:r>
        <w:t xml:space="preserve">No protocol-extractive fees (no</w:t>
      </w:r>
      <w:r>
        <w:t xml:space="preserve"> </w:t>
      </w:r>
      <w:r>
        <w:t xml:space="preserve">“admin fee”</w:t>
      </w:r>
      <w:r>
        <w:t xml:space="preserve"> </w:t>
      </w:r>
      <w:r>
        <w:t xml:space="preserve">skimmed off top)</w:t>
      </w:r>
    </w:p>
    <w:p>
      <w:pPr>
        <w:pStyle w:val="Compact"/>
        <w:numPr>
          <w:ilvl w:val="0"/>
          <w:numId w:val="1007"/>
        </w:numPr>
      </w:pPr>
      <w:r>
        <w:t xml:space="preserve">No rent-seeking intermediaries</w:t>
      </w:r>
    </w:p>
    <w:p>
      <w:pPr>
        <w:pStyle w:val="Compact"/>
        <w:numPr>
          <w:ilvl w:val="0"/>
          <w:numId w:val="1007"/>
        </w:numPr>
      </w:pPr>
      <w:r>
        <w:t xml:space="preserve">No inflationary token printing for</w:t>
      </w:r>
      <w:r>
        <w:t xml:space="preserve"> </w:t>
      </w:r>
      <w:r>
        <w:t xml:space="preserve">“rewards”</w:t>
      </w:r>
    </w:p>
    <w:bookmarkEnd w:id="18"/>
    <w:bookmarkStart w:id="19" w:name="principle"/>
    <w:p>
      <w:pPr>
        <w:pStyle w:val="Heading2"/>
      </w:pPr>
      <w:r>
        <w:t xml:space="preserve">Principle</w:t>
      </w:r>
    </w:p>
    <w:p>
      <w:pPr>
        <w:pStyle w:val="BlockText"/>
      </w:pPr>
      <w:r>
        <w:t xml:space="preserve">Money flows where value was created. Shapley ensures marginal contribution = reward. Batch auctions ensure collective fairness. The math doesn’t lie.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2026-03-16T12:18:30Z</dcterms:created>
  <dcterms:modified xsi:type="dcterms:W3CDTF">2026-03-16T12:18:30Z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