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proof-of-mind-the-third-consensus"/>
    <w:p>
      <w:pPr>
        <w:pStyle w:val="Heading1"/>
      </w:pPr>
      <w:r>
        <w:t xml:space="preserve">Proof of Mind: The Third Consensus</w:t>
      </w:r>
    </w:p>
    <w:p>
      <w:pPr>
        <w:pStyle w:val="FirstParagraph"/>
      </w:pPr>
      <w:r>
        <w:rPr>
          <w:i/>
          <w:iCs/>
        </w:rPr>
        <w:t xml:space="preserve">How three independent projects converged on a new paradigm for decentralized coordination</w:t>
      </w:r>
    </w:p>
    <w:p>
      <w:r>
        <w:pict>
          <v:rect style="width:0;height:1.5pt" o:hralign="center" o:hrstd="t" o:hr="t"/>
        </w:pict>
      </w:r>
    </w:p>
    <w:bookmarkStart w:id="9" w:name="the-problem-nobody-talks-about"/>
    <w:p>
      <w:pPr>
        <w:pStyle w:val="Heading2"/>
      </w:pPr>
      <w:r>
        <w:t xml:space="preserve">The Problem Nobody Talks About</w:t>
      </w:r>
    </w:p>
    <w:p>
      <w:pPr>
        <w:pStyle w:val="FirstParagraph"/>
      </w:pPr>
      <w:r>
        <w:t xml:space="preserve">Every blockchain project builds on the same assumption: consensus requires either energy (Proof of Work) or capital (Proof of Stake). You either burn electricity to prove you did something, or you lock money to prove you have something at risk.</w:t>
      </w:r>
    </w:p>
    <w:p>
      <w:pPr>
        <w:pStyle w:val="BodyText"/>
      </w:pPr>
      <w:r>
        <w:t xml:space="preserve">Both approaches share a deeper flaw:</w:t>
      </w:r>
      <w:r>
        <w:t xml:space="preserve"> </w:t>
      </w:r>
      <w:r>
        <w:rPr>
          <w:b/>
          <w:bCs/>
        </w:rPr>
        <w:t xml:space="preserve">they measure willingness to spend, not willingness to think.</w:t>
      </w:r>
    </w:p>
    <w:p>
      <w:pPr>
        <w:pStyle w:val="BodyText"/>
      </w:pPr>
      <w:r>
        <w:t xml:space="preserve">A miner with the most ASICs isn’t necessarily the most valuable participant in a network. A whale with the most staked ETH isn’t necessarily the most aligned with the protocol’s mission. Yet these are the people who control consensus in every major blockchain today.</w:t>
      </w:r>
    </w:p>
    <w:p>
      <w:pPr>
        <w:pStyle w:val="BodyText"/>
      </w:pPr>
      <w:r>
        <w:t xml:space="preserve">What if consensus emerged from sustained intellectual contribution instead?</w:t>
      </w:r>
    </w:p>
    <w:p>
      <w:r>
        <w:pict>
          <v:rect style="width:0;height:1.5pt" o:hralign="center" o:hrstd="t" o:hr="t"/>
        </w:pict>
      </w:r>
    </w:p>
    <w:bookmarkEnd w:id="9"/>
    <w:bookmarkStart w:id="13" w:name="three-pieces-three-builders"/>
    <w:p>
      <w:pPr>
        <w:pStyle w:val="Heading2"/>
      </w:pPr>
      <w:r>
        <w:t xml:space="preserve">Three Pieces, Three Builders</w:t>
      </w:r>
    </w:p>
    <w:p>
      <w:pPr>
        <w:pStyle w:val="FirstParagraph"/>
      </w:pPr>
      <w:r>
        <w:t xml:space="preserve">What follows isn’t a theoretical exercise. Three independent builders — working on seemingly unrelated problems — arrived at complementary solutions that, when composed, form something none of them could have built alone.</w:t>
      </w:r>
    </w:p>
    <w:bookmarkStart w:id="10" w:name="piece-1-the-substrate-gentu"/>
    <w:p>
      <w:pPr>
        <w:pStyle w:val="Heading3"/>
      </w:pPr>
      <w:r>
        <w:t xml:space="preserve">Piece 1: The Substrate (GenTu)</w:t>
      </w:r>
    </w:p>
    <w:p>
      <w:pPr>
        <w:pStyle w:val="FirstParagraph"/>
      </w:pPr>
      <w:r>
        <w:rPr>
          <w:b/>
          <w:bCs/>
        </w:rPr>
        <w:t xml:space="preserve">The problem</w:t>
      </w:r>
      <w:r>
        <w:t xml:space="preserve">: Software today is fragmented across servers, databases, networks, and identity systems. Each piece requires separate infrastructure, separate maintenance, separate failure modes. Building anything distributed means duct-taping five different systems together.</w:t>
      </w:r>
    </w:p>
    <w:p>
      <w:pPr>
        <w:pStyle w:val="BodyText"/>
      </w:pPr>
      <w:r>
        <w:rPr>
          <w:b/>
          <w:bCs/>
        </w:rPr>
        <w:t xml:space="preserve">The solution</w:t>
      </w:r>
      <w:r>
        <w:t xml:space="preserve">: A persistent execution substrate — a single mathematical structure that simultaneously serves as network, database, identity system, and execution environment. Every device maintains a local copy. Devices discover each other automatically. Software exists and executes independently of any specific machine.</w:t>
      </w:r>
    </w:p>
    <w:p>
      <w:pPr>
        <w:pStyle w:val="BodyText"/>
      </w:pPr>
      <w:r>
        <w:t xml:space="preserve">The key insight: a 21×13 grid addressed by mathematical constants (Fibonacci sequence, golden ratio) creates a space where data finds its own position based on its mathematical properties. No admin decides where to store things. No server must stay running. Identity, addressing, storage, and computation are different views of the same structure.</w:t>
      </w:r>
    </w:p>
    <w:p>
      <w:pPr>
        <w:pStyle w:val="BodyText"/>
      </w:pPr>
      <w:r>
        <w:t xml:space="preserve">This substrate has five properties that matter:</w:t>
      </w:r>
    </w:p>
    <w:p>
      <w:pPr>
        <w:pStyle w:val="Compact"/>
        <w:numPr>
          <w:ilvl w:val="0"/>
          <w:numId w:val="1001"/>
        </w:numPr>
      </w:pPr>
      <w:r>
        <w:rPr>
          <w:b/>
          <w:bCs/>
        </w:rPr>
        <w:t xml:space="preserve">Persistent</w:t>
      </w:r>
      <w:r>
        <w:t xml:space="preserve"> </w:t>
      </w:r>
      <w:r>
        <w:t xml:space="preserve">— execution doesn’t stop when a machine stops</w:t>
      </w:r>
    </w:p>
    <w:p>
      <w:pPr>
        <w:pStyle w:val="Compact"/>
        <w:numPr>
          <w:ilvl w:val="0"/>
          <w:numId w:val="1001"/>
        </w:numPr>
      </w:pPr>
      <w:r>
        <w:rPr>
          <w:b/>
          <w:bCs/>
        </w:rPr>
        <w:t xml:space="preserve">Machine-independent</w:t>
      </w:r>
      <w:r>
        <w:t xml:space="preserve"> </w:t>
      </w:r>
      <w:r>
        <w:t xml:space="preserve">— bound to cryptographic identity, not hardware</w:t>
      </w:r>
    </w:p>
    <w:p>
      <w:pPr>
        <w:pStyle w:val="Compact"/>
        <w:numPr>
          <w:ilvl w:val="0"/>
          <w:numId w:val="1001"/>
        </w:numPr>
      </w:pPr>
      <w:r>
        <w:rPr>
          <w:b/>
          <w:bCs/>
        </w:rPr>
        <w:t xml:space="preserve">Unified</w:t>
      </w:r>
      <w:r>
        <w:t xml:space="preserve"> </w:t>
      </w:r>
      <w:r>
        <w:t xml:space="preserve">— one structure for everything</w:t>
      </w:r>
    </w:p>
    <w:p>
      <w:pPr>
        <w:pStyle w:val="Compact"/>
        <w:numPr>
          <w:ilvl w:val="0"/>
          <w:numId w:val="1001"/>
        </w:numPr>
      </w:pPr>
      <w:r>
        <w:rPr>
          <w:b/>
          <w:bCs/>
        </w:rPr>
        <w:t xml:space="preserve">Self-organizing</w:t>
      </w:r>
      <w:r>
        <w:t xml:space="preserve"> </w:t>
      </w:r>
      <w:r>
        <w:t xml:space="preserve">— data positions itself</w:t>
      </w:r>
    </w:p>
    <w:p>
      <w:pPr>
        <w:pStyle w:val="Compact"/>
        <w:numPr>
          <w:ilvl w:val="0"/>
          <w:numId w:val="1001"/>
        </w:numPr>
      </w:pPr>
      <w:r>
        <w:rPr>
          <w:b/>
          <w:bCs/>
        </w:rPr>
        <w:t xml:space="preserve">Additive</w:t>
      </w:r>
      <w:r>
        <w:t xml:space="preserve"> </w:t>
      </w:r>
      <w:r>
        <w:t xml:space="preserve">— every device that joins adds capacity</w:t>
      </w:r>
    </w:p>
    <w:bookmarkEnd w:id="10"/>
    <w:bookmarkStart w:id="11" w:name="piece-2-the-native-object-it"/>
    <w:p>
      <w:pPr>
        <w:pStyle w:val="Heading3"/>
      </w:pPr>
      <w:r>
        <w:t xml:space="preserve">Piece 2: The Native Object (IT)</w:t>
      </w:r>
    </w:p>
    <w:p>
      <w:pPr>
        <w:pStyle w:val="FirstParagraph"/>
      </w:pPr>
      <w:r>
        <w:rPr>
          <w:b/>
          <w:bCs/>
        </w:rPr>
        <w:t xml:space="preserve">The problem</w:t>
      </w:r>
      <w:r>
        <w:t xml:space="preserve">: Ideas have no native representation in any existing system. On Ethereum, you can represent a token, an NFT, a liquidity position — but not an idea. Not a living, evolving concept that accumulates work, contributors, capital, and impact over time.</w:t>
      </w:r>
    </w:p>
    <w:p>
      <w:pPr>
        <w:pStyle w:val="BodyText"/>
      </w:pPr>
      <w:r>
        <w:rPr>
          <w:b/>
          <w:bCs/>
        </w:rPr>
        <w:t xml:space="preserve">The solution</w:t>
      </w:r>
      <w:r>
        <w:t xml:space="preserve">: IT — the Idea Token — as a protocol-native object with five inseparable components:</w:t>
      </w:r>
    </w:p>
    <w:p>
      <w:pPr>
        <w:pStyle w:val="Compact"/>
        <w:numPr>
          <w:ilvl w:val="0"/>
          <w:numId w:val="1002"/>
        </w:numPr>
      </w:pPr>
      <w:r>
        <w:rPr>
          <w:b/>
          <w:bCs/>
        </w:rPr>
        <w:t xml:space="preserve">Identity</w:t>
      </w:r>
      <w:r>
        <w:t xml:space="preserve">: Creator, timestamp, content hash, version history. Makes ideas addressable and composable.</w:t>
      </w:r>
    </w:p>
    <w:p>
      <w:pPr>
        <w:pStyle w:val="Compact"/>
        <w:numPr>
          <w:ilvl w:val="0"/>
          <w:numId w:val="1002"/>
        </w:numPr>
      </w:pPr>
      <w:r>
        <w:rPr>
          <w:b/>
          <w:bCs/>
        </w:rPr>
        <w:t xml:space="preserve">Treasury</w:t>
      </w:r>
      <w:r>
        <w:t xml:space="preserve">: Capital deposited directly into the idea. Funds exit only through protocol-level execution streams. No arbitrary withdrawals.</w:t>
      </w:r>
    </w:p>
    <w:p>
      <w:pPr>
        <w:pStyle w:val="Compact"/>
        <w:numPr>
          <w:ilvl w:val="0"/>
          <w:numId w:val="1002"/>
        </w:numPr>
      </w:pPr>
      <w:r>
        <w:rPr>
          <w:b/>
          <w:bCs/>
        </w:rPr>
        <w:t xml:space="preserve">IT Supply</w:t>
      </w:r>
      <w:r>
        <w:t xml:space="preserve">: Governance tokens minted 1:1 with funding. Holding IT means authority over who executes — not ownership of funds.</w:t>
      </w:r>
    </w:p>
    <w:p>
      <w:pPr>
        <w:pStyle w:val="Compact"/>
        <w:numPr>
          <w:ilvl w:val="0"/>
          <w:numId w:val="1002"/>
        </w:numPr>
      </w:pPr>
      <w:r>
        <w:rPr>
          <w:b/>
          <w:bCs/>
        </w:rPr>
        <w:t xml:space="preserve">Execution Market</w:t>
      </w:r>
      <w:r>
        <w:t xml:space="preserve">: Multiple executors compete simultaneously. IT holders signal conviction toward executors. Conviction grows with time, decays with inactivity. Stream share is proportional to accumulated conviction.</w:t>
      </w:r>
    </w:p>
    <w:p>
      <w:pPr>
        <w:pStyle w:val="Compact"/>
        <w:numPr>
          <w:ilvl w:val="0"/>
          <w:numId w:val="1002"/>
        </w:numPr>
      </w:pPr>
      <w:r>
        <w:rPr>
          <w:b/>
          <w:bCs/>
        </w:rPr>
        <w:t xml:space="preserve">Memory</w:t>
      </w:r>
      <w:r>
        <w:t xml:space="preserve">: Permanent record of milestones, artifacts, contributor graphs, disputes, and resolutions. ITs grow instead of resetting every funding round.</w:t>
      </w:r>
    </w:p>
    <w:p>
      <w:pPr>
        <w:pStyle w:val="FirstParagraph"/>
      </w:pPr>
      <w:r>
        <w:t xml:space="preserve">The critical design decision:</w:t>
      </w:r>
      <w:r>
        <w:t xml:space="preserve"> </w:t>
      </w:r>
      <w:r>
        <w:rPr>
          <w:b/>
          <w:bCs/>
        </w:rPr>
        <w:t xml:space="preserve">IT cannot be implemented as a smart contract.</w:t>
      </w:r>
      <w:r>
        <w:t xml:space="preserve"> </w:t>
      </w:r>
      <w:r>
        <w:t xml:space="preserve">It requires native time semantics (conviction growth, decay, stalls), native streaming, native object storage, native identity hooks, and native AI integration. Smart contracts become extensions, not the core.</w:t>
      </w:r>
    </w:p>
    <w:bookmarkEnd w:id="11"/>
    <w:bookmarkStart w:id="12" w:name="piece-3-the-consensus-proof-of-mind"/>
    <w:p>
      <w:pPr>
        <w:pStyle w:val="Heading3"/>
      </w:pPr>
      <w:r>
        <w:t xml:space="preserve">Piece 3: The Consensus (Proof of Mind)</w:t>
      </w:r>
    </w:p>
    <w:p>
      <w:pPr>
        <w:pStyle w:val="FirstParagraph"/>
      </w:pPr>
      <w:r>
        <w:rPr>
          <w:b/>
          <w:bCs/>
        </w:rPr>
        <w:t xml:space="preserve">The problem</w:t>
      </w:r>
      <w:r>
        <w:t xml:space="preserve">: How does a network of ideas reach agreement? You can’t mine ideas. You can’t stake your way to better thinking. Existing consensus mechanisms optimize for the wrong thing.</w:t>
      </w:r>
    </w:p>
    <w:p>
      <w:pPr>
        <w:pStyle w:val="BodyText"/>
      </w:pPr>
      <w:r>
        <w:rPr>
          <w:b/>
          <w:bCs/>
        </w:rPr>
        <w:t xml:space="preserve">The solution</w:t>
      </w:r>
      <w:r>
        <w:t xml:space="preserve">: Proof of Mind — consensus that emerges from sustained intellectual contribution rather than energy expenditure or capital lockup.</w:t>
      </w:r>
    </w:p>
    <w:p>
      <w:pPr>
        <w:pStyle w:val="BodyText"/>
      </w:pPr>
      <w:r>
        <w:t xml:space="preserve">Your consensus weight equals your accumulated IT activity: ideas created, executions completed, attestations made, governance participated in — all time-weighted, all contribution-derived.</w:t>
      </w:r>
    </w:p>
    <w:p>
      <w:pPr>
        <w:pStyle w:val="BodyText"/>
      </w:pPr>
      <w:r>
        <w:t xml:space="preserve">POM isn’t a separate system bolted onto IT.</w:t>
      </w:r>
      <w:r>
        <w:t xml:space="preserve"> </w:t>
      </w:r>
      <w:r>
        <w:rPr>
          <w:b/>
          <w:bCs/>
        </w:rPr>
        <w:t xml:space="preserve">POM is IT.</w:t>
      </w:r>
      <w:r>
        <w:t xml:space="preserve"> </w:t>
      </w:r>
      <w:r>
        <w:t xml:space="preserve">The act of creating, funding, executing, and attesting on ITs</w:t>
      </w:r>
      <w:r>
        <w:t xml:space="preserve"> </w:t>
      </w:r>
      <w:r>
        <w:rPr>
          <w:i/>
          <w:iCs/>
        </w:rPr>
        <w:t xml:space="preserve">is</w:t>
      </w:r>
      <w:r>
        <w:t xml:space="preserve"> </w:t>
      </w:r>
      <w:r>
        <w:t xml:space="preserve">your proof of mind. Consensus emerges from the IT graph itself.</w:t>
      </w:r>
    </w:p>
    <w:p>
      <w:pPr>
        <w:pStyle w:val="BodyText"/>
      </w:pPr>
      <w:r>
        <w:t xml:space="preserve">Not Proof of Work (value doesn’t come from computation). Not Proof of Stake (value doesn’t come from flash capital). Your contribution history — impossible to buy, impossible to mine — is your consensus identity.</w:t>
      </w:r>
    </w:p>
    <w:p>
      <w:r>
        <w:pict>
          <v:rect style="width:0;height:1.5pt" o:hralign="center" o:hrstd="t" o:hr="t"/>
        </w:pict>
      </w:r>
    </w:p>
    <w:bookmarkEnd w:id="12"/>
    <w:bookmarkEnd w:id="13"/>
    <w:bookmarkStart w:id="14" w:name="why-all-three-are-needed"/>
    <w:p>
      <w:pPr>
        <w:pStyle w:val="Heading2"/>
      </w:pPr>
      <w:r>
        <w:t xml:space="preserve">Why All Three Are Needed</w:t>
      </w:r>
    </w:p>
    <w:p>
      <w:pPr>
        <w:pStyle w:val="FirstParagraph"/>
      </w:pPr>
      <w:r>
        <w:t xml:space="preserve">Each piece alone solves a real problem. Together, they create something none could achieve independently.</w:t>
      </w:r>
    </w:p>
    <w:p>
      <w:pPr>
        <w:pStyle w:val="BodyText"/>
      </w:pPr>
      <w:r>
        <w:rPr>
          <w:b/>
          <w:bCs/>
        </w:rPr>
        <w:t xml:space="preserve">GenTu without IT</w:t>
      </w:r>
      <w:r>
        <w:t xml:space="preserve">: A powerful substrate with nothing native to run on it. Just another infrastructure layer.</w:t>
      </w:r>
    </w:p>
    <w:p>
      <w:pPr>
        <w:pStyle w:val="BodyText"/>
      </w:pPr>
      <w:r>
        <w:rPr>
          <w:b/>
          <w:bCs/>
        </w:rPr>
        <w:t xml:space="preserve">IT without GenTu</w:t>
      </w:r>
      <w:r>
        <w:t xml:space="preserve">: An idea primitive forced into EVM contracts, losing its native time semantics, streaming, and identity. A compromise that breaks the design.</w:t>
      </w:r>
    </w:p>
    <w:p>
      <w:pPr>
        <w:pStyle w:val="BodyText"/>
      </w:pPr>
      <w:r>
        <w:rPr>
          <w:b/>
          <w:bCs/>
        </w:rPr>
        <w:t xml:space="preserve">POM without IT</w:t>
      </w:r>
      <w:r>
        <w:t xml:space="preserve">: A consensus mechanism with nothing to measure.</w:t>
      </w:r>
      <w:r>
        <w:t xml:space="preserve"> </w:t>
      </w:r>
      <w:r>
        <w:t xml:space="preserve">“Proof of mind”</w:t>
      </w:r>
      <w:r>
        <w:t xml:space="preserve"> </w:t>
      </w:r>
      <w:r>
        <w:t xml:space="preserve">requires a legible graph of intellectual contributions — which is exactly what the IT graph provides.</w:t>
      </w:r>
    </w:p>
    <w:p>
      <w:pPr>
        <w:pStyle w:val="BodyText"/>
      </w:pPr>
      <w:r>
        <w:rPr>
          <w:b/>
          <w:bCs/>
        </w:rPr>
        <w:t xml:space="preserve">IT without POM</w:t>
      </w:r>
      <w:r>
        <w:t xml:space="preserve">: An idea marketplace with no consensus mechanism suited to its values. Falls back to PoS (capital-weighted governance) or PoW (meaningless computation) — both of which undermine the entire premise.</w:t>
      </w:r>
    </w:p>
    <w:p>
      <w:pPr>
        <w:pStyle w:val="BodyText"/>
      </w:pPr>
      <w:r>
        <w:t xml:space="preserve">The composition:</w:t>
      </w:r>
    </w:p>
    <w:tbl>
      <w:tblPr>
        <w:tblStyle w:val="Table"/>
        <w:tblW w:type="pct" w:w="5000"/>
        <w:tblLayout w:type="fixed"/>
        <w:tblLook w:firstRow="1" w:lastRow="0" w:firstColumn="0" w:lastColumn="0" w:noHBand="0" w:noVBand="0" w:val="0020"/>
      </w:tblPr>
      <w:tblGrid>
        <w:gridCol w:w="488"/>
        <w:gridCol w:w="1564"/>
        <w:gridCol w:w="5866"/>
      </w:tblGrid>
      <w:tr>
        <w:trPr>
          <w:tblHeader w:val="on"/>
        </w:trPr>
        <w:tc>
          <w:tcPr/>
          <w:p>
            <w:pPr>
              <w:pStyle w:val="Compact"/>
            </w:pPr>
            <w:r>
              <w:t xml:space="preserve">Layer</w:t>
            </w:r>
          </w:p>
        </w:tc>
        <w:tc>
          <w:tcPr/>
          <w:p>
            <w:pPr>
              <w:pStyle w:val="Compact"/>
            </w:pPr>
            <w:r>
              <w:t xml:space="preserve">Role</w:t>
            </w:r>
          </w:p>
        </w:tc>
        <w:tc>
          <w:tcPr/>
          <w:p>
            <w:pPr>
              <w:pStyle w:val="Compact"/>
            </w:pPr>
            <w:r>
              <w:t xml:space="preserve">Builder</w:t>
            </w:r>
          </w:p>
        </w:tc>
      </w:tr>
      <w:tr>
        <w:tc>
          <w:tcPr/>
          <w:p>
            <w:pPr>
              <w:pStyle w:val="Compact"/>
            </w:pPr>
            <w:r>
              <w:t xml:space="preserve">GenTu</w:t>
            </w:r>
          </w:p>
        </w:tc>
        <w:tc>
          <w:tcPr/>
          <w:p>
            <w:pPr>
              <w:pStyle w:val="Compact"/>
            </w:pPr>
            <w:r>
              <w:t xml:space="preserve">WHERE ideas live</w:t>
            </w:r>
          </w:p>
        </w:tc>
        <w:tc>
          <w:tcPr/>
          <w:p>
            <w:pPr>
              <w:pStyle w:val="Compact"/>
            </w:pPr>
            <w:r>
              <w:t xml:space="preserve">Persistent execution substrate with mathematical addressing</w:t>
            </w:r>
          </w:p>
        </w:tc>
      </w:tr>
      <w:tr>
        <w:tc>
          <w:tcPr/>
          <w:p>
            <w:pPr>
              <w:pStyle w:val="Compact"/>
            </w:pPr>
            <w:r>
              <w:t xml:space="preserve">IT</w:t>
            </w:r>
          </w:p>
        </w:tc>
        <w:tc>
          <w:tcPr/>
          <w:p>
            <w:pPr>
              <w:pStyle w:val="Compact"/>
            </w:pPr>
            <w:r>
              <w:t xml:space="preserve">WHAT lives there</w:t>
            </w:r>
          </w:p>
        </w:tc>
        <w:tc>
          <w:tcPr/>
          <w:p>
            <w:pPr>
              <w:pStyle w:val="Compact"/>
            </w:pPr>
            <w:r>
              <w:t xml:space="preserve">Protocol-native ideas with treasury, execution, memory</w:t>
            </w:r>
          </w:p>
        </w:tc>
      </w:tr>
      <w:tr>
        <w:tc>
          <w:tcPr/>
          <w:p>
            <w:pPr>
              <w:pStyle w:val="Compact"/>
            </w:pPr>
            <w:r>
              <w:t xml:space="preserve">POM</w:t>
            </w:r>
          </w:p>
        </w:tc>
        <w:tc>
          <w:tcPr/>
          <w:p>
            <w:pPr>
              <w:pStyle w:val="Compact"/>
            </w:pPr>
            <w:r>
              <w:t xml:space="preserve">HOW they agree</w:t>
            </w:r>
          </w:p>
        </w:tc>
        <w:tc>
          <w:tcPr/>
          <w:p>
            <w:pPr>
              <w:pStyle w:val="Compact"/>
            </w:pPr>
            <w:r>
              <w:t xml:space="preserve">Consensus from sustained contribution, not energy or capital</w:t>
            </w:r>
          </w:p>
        </w:tc>
      </w:tr>
    </w:tbl>
    <w:p>
      <w:pPr>
        <w:pStyle w:val="BodyText"/>
      </w:pPr>
      <w:r>
        <w:t xml:space="preserve">ITs are drones in the GenTu substrate — universal work units with treasury, conviction, and memory. They find their position by content hash (GenTu’s PHI-derived addressing). Conviction grows in substrate time, not machine time (GenTu’s persistent execution). More contributors strengthen the network (GenTu’s additive mesh).</w:t>
      </w:r>
    </w:p>
    <w:p>
      <w:r>
        <w:pict>
          <v:rect style="width:0;height:1.5pt" o:hralign="center" o:hrstd="t" o:hr="t"/>
        </w:pict>
      </w:r>
    </w:p>
    <w:bookmarkEnd w:id="14"/>
    <w:bookmarkStart w:id="15" w:name="security-posture"/>
    <w:p>
      <w:pPr>
        <w:pStyle w:val="Heading2"/>
      </w:pPr>
      <w:r>
        <w:t xml:space="preserve">Security Posture</w:t>
      </w:r>
    </w:p>
    <w:p>
      <w:pPr>
        <w:pStyle w:val="FirstParagraph"/>
      </w:pPr>
      <w:r>
        <w:t xml:space="preserve">The system assumes adversarial behavior at every level:</w:t>
      </w:r>
    </w:p>
    <w:p>
      <w:pPr>
        <w:pStyle w:val="Compact"/>
        <w:numPr>
          <w:ilvl w:val="0"/>
          <w:numId w:val="1003"/>
        </w:numPr>
      </w:pPr>
      <w:r>
        <w:rPr>
          <w:b/>
          <w:bCs/>
        </w:rPr>
        <w:t xml:space="preserve">Bribery</w:t>
      </w:r>
      <w:r>
        <w:t xml:space="preserve">: Conviction is time-weighted. You can’t buy 14 days of sustained participation in an instant.</w:t>
      </w:r>
    </w:p>
    <w:p>
      <w:pPr>
        <w:pStyle w:val="Compact"/>
        <w:numPr>
          <w:ilvl w:val="0"/>
          <w:numId w:val="1003"/>
        </w:numPr>
      </w:pPr>
      <w:r>
        <w:rPr>
          <w:b/>
          <w:bCs/>
        </w:rPr>
        <w:t xml:space="preserve">Fake progress</w:t>
      </w:r>
      <w:r>
        <w:t xml:space="preserve">: AI attestations flag suspicious milestones. Disputes are cheap to trigger, costly to lose.</w:t>
      </w:r>
    </w:p>
    <w:p>
      <w:pPr>
        <w:pStyle w:val="Compact"/>
        <w:numPr>
          <w:ilvl w:val="0"/>
          <w:numId w:val="1003"/>
        </w:numPr>
      </w:pPr>
      <w:r>
        <w:rPr>
          <w:b/>
          <w:bCs/>
        </w:rPr>
        <w:t xml:space="preserve">Sybil executors</w:t>
      </w:r>
      <w:r>
        <w:t xml:space="preserve">: Identity and reputation compound slowly. Creating 100 accounts doesn’t give you 100x the reputation — it gives you 100 accounts with zero history.</w:t>
      </w:r>
    </w:p>
    <w:p>
      <w:pPr>
        <w:pStyle w:val="Compact"/>
        <w:numPr>
          <w:ilvl w:val="0"/>
          <w:numId w:val="1003"/>
        </w:numPr>
      </w:pPr>
      <w:r>
        <w:rPr>
          <w:b/>
          <w:bCs/>
        </w:rPr>
        <w:t xml:space="preserve">Governance capture</w:t>
      </w:r>
      <w:r>
        <w:t xml:space="preserve">: IT supply governs execution authority, not fund access. Capturing governance lets you choose who builds — but the funds still only flow through protocol-level streams based on completed milestones.</w:t>
      </w:r>
    </w:p>
    <w:p>
      <w:pPr>
        <w:pStyle w:val="Compact"/>
        <w:numPr>
          <w:ilvl w:val="0"/>
          <w:numId w:val="1003"/>
        </w:numPr>
      </w:pPr>
      <w:r>
        <w:rPr>
          <w:b/>
          <w:bCs/>
        </w:rPr>
        <w:t xml:space="preserve">Colluding attesters</w:t>
      </w:r>
      <w:r>
        <w:t xml:space="preserve">: Attestations are recorded in IT Memory permanently. Patterns of collusion are detectable and disputable.</w:t>
      </w:r>
    </w:p>
    <w:p>
      <w:pPr>
        <w:pStyle w:val="FirstParagraph"/>
      </w:pPr>
      <w:r>
        <w:t xml:space="preserve">The fundamental defense:</w:t>
      </w:r>
      <w:r>
        <w:t xml:space="preserve"> </w:t>
      </w:r>
      <w:r>
        <w:rPr>
          <w:b/>
          <w:bCs/>
        </w:rPr>
        <w:t xml:space="preserve">power comes from sustained participation, not flash capital.</w:t>
      </w:r>
      <w:r>
        <w:t xml:space="preserve"> </w:t>
      </w:r>
      <w:r>
        <w:t xml:space="preserve">Every mechanism in the system reinforces this principle.</w:t>
      </w:r>
    </w:p>
    <w:p>
      <w:r>
        <w:pict>
          <v:rect style="width:0;height:1.5pt" o:hralign="center" o:hrstd="t" o:hr="t"/>
        </w:pict>
      </w:r>
    </w:p>
    <w:bookmarkEnd w:id="15"/>
    <w:bookmarkStart w:id="16" w:name="what-this-makes-possible"/>
    <w:p>
      <w:pPr>
        <w:pStyle w:val="Heading2"/>
      </w:pPr>
      <w:r>
        <w:t xml:space="preserve">What This Makes Possible</w:t>
      </w:r>
    </w:p>
    <w:p>
      <w:pPr>
        <w:pStyle w:val="FirstParagraph"/>
      </w:pPr>
      <w:r>
        <w:rPr>
          <w:b/>
          <w:bCs/>
        </w:rPr>
        <w:t xml:space="preserve">Ideas as productive assets.</w:t>
      </w:r>
      <w:r>
        <w:t xml:space="preserve"> </w:t>
      </w:r>
      <w:r>
        <w:t xml:space="preserve">Not lottery tickets. Not speculative tokens. Living objects that accumulate capital, work, and impact — and distribute returns to everyone who contributed.</w:t>
      </w:r>
    </w:p>
    <w:p>
      <w:pPr>
        <w:pStyle w:val="BodyText"/>
      </w:pPr>
      <w:r>
        <w:rPr>
          <w:b/>
          <w:bCs/>
        </w:rPr>
        <w:t xml:space="preserve">Execution markets.</w:t>
      </w:r>
      <w:r>
        <w:t xml:space="preserve"> </w:t>
      </w:r>
      <w:r>
        <w:t xml:space="preserve">Multiple teams compete to build the same idea simultaneously. The best executor earns the most conviction. Bad executors decay. No committee decides who gets funded — the market does, weighted by time and contribution.</w:t>
      </w:r>
    </w:p>
    <w:p>
      <w:pPr>
        <w:pStyle w:val="BodyText"/>
      </w:pPr>
      <w:r>
        <w:rPr>
          <w:b/>
          <w:bCs/>
        </w:rPr>
        <w:t xml:space="preserve">Composable knowledge.</w:t>
      </w:r>
      <w:r>
        <w:t xml:space="preserve"> </w:t>
      </w:r>
      <w:r>
        <w:t xml:space="preserve">ITs reference other ITs. Fork them. Extend them. Build on them. The contribution graph captures all of it — who influenced what, who built on whose work, who vouched for whom.</w:t>
      </w:r>
    </w:p>
    <w:p>
      <w:pPr>
        <w:pStyle w:val="BodyText"/>
      </w:pPr>
      <w:r>
        <w:rPr>
          <w:b/>
          <w:bCs/>
        </w:rPr>
        <w:t xml:space="preserve">Retroactive fairness.</w:t>
      </w:r>
      <w:r>
        <w:t xml:space="preserve"> </w:t>
      </w:r>
      <w:r>
        <w:t xml:space="preserve">Early contributors to ideas that later succeed receive ongoing returns. Not because someone decided to be generous — because the protocol enforces it mathematically.</w:t>
      </w:r>
    </w:p>
    <w:p>
      <w:pPr>
        <w:pStyle w:val="BodyText"/>
      </w:pPr>
      <w:r>
        <w:rPr>
          <w:b/>
          <w:bCs/>
        </w:rPr>
        <w:t xml:space="preserve">AI as tool, never sovereign.</w:t>
      </w:r>
      <w:r>
        <w:t xml:space="preserve"> </w:t>
      </w:r>
      <w:r>
        <w:t xml:space="preserve">AI produces attestations (</w:t>
      </w:r>
      <w:r>
        <w:t xml:space="preserve">“this milestone looks complete,”</w:t>
      </w:r>
      <w:r>
        <w:t xml:space="preserve"> </w:t>
      </w:r>
      <w:r>
        <w:t xml:space="preserve">“this IT duplicates an existing one”</w:t>
      </w:r>
      <w:r>
        <w:t xml:space="preserve">). Humans and the conviction market decide what to do with those attestations. AI is baked in but never has the final word.</w:t>
      </w:r>
    </w:p>
    <w:p>
      <w:r>
        <w:pict>
          <v:rect style="width:0;height:1.5pt" o:hralign="center" o:hrstd="t" o:hr="t"/>
        </w:pict>
      </w:r>
    </w:p>
    <w:bookmarkEnd w:id="16"/>
    <w:bookmarkStart w:id="17" w:name="the-path-forward"/>
    <w:p>
      <w:pPr>
        <w:pStyle w:val="Heading2"/>
      </w:pPr>
      <w:r>
        <w:t xml:space="preserve">The Path Forward</w:t>
      </w:r>
    </w:p>
    <w:p>
      <w:pPr>
        <w:pStyle w:val="FirstParagraph"/>
      </w:pPr>
      <w:r>
        <w:t xml:space="preserve">VibeSwap — an omnichain DEX built on commit-reveal batch auctions — serves as the proving ground. Its Contribution Yield Tokenizer implements a simplified version of IT: funding streams, execution markets, milestone evidence. No conviction (free market execution is simpler and sufficient for a DEX). No native chain. No AI attestations.</w:t>
      </w:r>
    </w:p>
    <w:p>
      <w:pPr>
        <w:pStyle w:val="BodyText"/>
      </w:pPr>
      <w:r>
        <w:t xml:space="preserve">The Decentralized Ideas Network is the destination. IT as the native chain object. GenTu as the execution substrate. Proof of Mind as the consensus mechanism. Three builders, three layers, one system.</w:t>
      </w:r>
    </w:p>
    <w:p>
      <w:pPr>
        <w:pStyle w:val="BodyText"/>
      </w:pPr>
      <w:r>
        <w:t xml:space="preserve">We’re not constrained by existing concepts. We have the freedom to manifest something completely new.</w:t>
      </w:r>
    </w:p>
    <w:p>
      <w:r>
        <w:pict>
          <v:rect style="width:0;height:1.5pt" o:hralign="center" o:hrstd="t" o:hr="t"/>
        </w:pict>
      </w:r>
    </w:p>
    <w:p>
      <w:pPr>
        <w:pStyle w:val="FirstParagraph"/>
      </w:pPr>
      <w:r>
        <w:rPr>
          <w:i/>
          <w:iCs/>
        </w:rPr>
        <w:t xml:space="preserve">Three builders. Three layers. One new paradigm.</w:t>
      </w:r>
    </w:p>
    <w:p>
      <w:pPr>
        <w:pStyle w:val="BodyText"/>
      </w:pPr>
      <w:r>
        <w:rPr>
          <w:i/>
          <w:iCs/>
        </w:rPr>
        <w:t xml:space="preserve">If you want to follow the build: the code is open, the mechanism design is public, and the conversation is ongoing.</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2026-03-16T12:18:32Z</dcterms:created>
  <dcterms:modified xsi:type="dcterms:W3CDTF">2026-03-16T12:18:32Z</dcterms:modified>
</cp:coreProperties>
</file>

<file path=docProps/custom.xml><?xml version="1.0" encoding="utf-8"?>
<Properties xmlns="http://schemas.openxmlformats.org/officeDocument/2006/custom-properties" xmlns:vt="http://schemas.openxmlformats.org/officeDocument/2006/docPropsVTypes"/>
</file>