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3e1dad358249d70d3a8f0d42b449b43fac85935"/>
    <w:p>
      <w:pPr>
        <w:pStyle w:val="Heading1"/>
      </w:pPr>
      <w:r>
        <w:t xml:space="preserve">EmissionController — VIBE Accumulation Pool</w:t>
      </w:r>
    </w:p>
    <w:p>
      <w:pPr>
        <w:pStyle w:val="FirstParagraph"/>
      </w:pPr>
      <w:r>
        <w:rPr>
          <w:b/>
          <w:bCs/>
        </w:rPr>
        <w:t xml:space="preserve">Technical Design Document</w:t>
      </w:r>
      <w:r>
        <w:t xml:space="preserve"> </w:t>
      </w:r>
      <w:r>
        <w:t xml:space="preserve">| February 2026 | VibeSwap Operating System (VSOS)</w:t>
      </w:r>
    </w:p>
    <w:p>
      <w:r>
        <w:pict>
          <v:rect style="width:0;height:1.5pt" o:hralign="center" o:hrstd="t" o:hr="t"/>
        </w:pict>
      </w:r>
    </w:p>
    <w:bookmarkStart w:id="9" w:name="overview"/>
    <w:p>
      <w:pPr>
        <w:pStyle w:val="Heading2"/>
      </w:pPr>
      <w:r>
        <w:t xml:space="preserve">Overview</w:t>
      </w:r>
    </w:p>
    <w:p>
      <w:pPr>
        <w:pStyle w:val="FirstParagraph"/>
      </w:pPr>
      <w:r>
        <w:t xml:space="preserve">The EmissionController is the sole minting authority for VIBE tokens. It implements a wall-clock halving emission schedule inspired by Bitcoin, with three distribution sinks: a Shapley accumulation pool for contribution rewards, a LiquidityGauge for LP staking, and a SingleStaking contract for governance staking.</w:t>
      </w:r>
    </w:p>
    <w:p>
      <w:pPr>
        <w:pStyle w:val="BodyText"/>
      </w:pPr>
      <w:r>
        <w:rPr>
          <w:b/>
          <w:bCs/>
        </w:rPr>
        <w:t xml:space="preserve">Contract:</w:t>
      </w:r>
      <w:r>
        <w:t xml:space="preserve"> </w:t>
      </w:r>
      <w:r>
        <w:rPr>
          <w:rStyle w:val="VerbatimChar"/>
        </w:rPr>
        <w:t xml:space="preserve">contracts/incentives/EmissionController.sol</w:t>
      </w:r>
      <w:r>
        <w:t xml:space="preserve"> </w:t>
      </w:r>
      <w:r>
        <w:rPr>
          <w:b/>
          <w:bCs/>
        </w:rPr>
        <w:t xml:space="preserve">Type:</w:t>
      </w:r>
      <w:r>
        <w:t xml:space="preserve"> </w:t>
      </w:r>
      <w:r>
        <w:t xml:space="preserve">UUPS Upgradeable (OpenZeppelin v5.0.1)</w:t>
      </w:r>
      <w:r>
        <w:t xml:space="preserve"> </w:t>
      </w:r>
      <w:r>
        <w:rPr>
          <w:b/>
          <w:bCs/>
        </w:rPr>
        <w:t xml:space="preserve">Test Coverage:</w:t>
      </w:r>
      <w:r>
        <w:t xml:space="preserve"> </w:t>
      </w:r>
      <w:r>
        <w:t xml:space="preserve">51 tests (38 unit + 6 fuzz + 7 invariant)</w:t>
      </w:r>
    </w:p>
    <w:p>
      <w:r>
        <w:pict>
          <v:rect style="width:0;height:1.5pt" o:hralign="center" o:hrstd="t" o:hr="t"/>
        </w:pict>
      </w:r>
    </w:p>
    <w:bookmarkEnd w:id="9"/>
    <w:bookmarkStart w:id="13" w:name="design-philosophy"/>
    <w:p>
      <w:pPr>
        <w:pStyle w:val="Heading2"/>
      </w:pPr>
      <w:r>
        <w:t xml:space="preserve">Design Philosophy</w:t>
      </w:r>
    </w:p>
    <w:bookmarkStart w:id="10" w:name="zero-pre-mine-zero-team-allocation"/>
    <w:p>
      <w:pPr>
        <w:pStyle w:val="Heading3"/>
      </w:pPr>
      <w:r>
        <w:t xml:space="preserve">Zero Pre-mine, Zero Team Allocation</w:t>
      </w:r>
    </w:p>
    <w:p>
      <w:pPr>
        <w:pStyle w:val="FirstParagraph"/>
      </w:pPr>
      <w:r>
        <w:t xml:space="preserve">Like Bitcoin, VIBE has no initial supply. No pre-mine. No founder allocation at deploy time. No VC backdoor deals. The entire 21M VIBE supply is earned through demonstrated contribution — period.</w:t>
      </w:r>
    </w:p>
    <w:p>
      <w:pPr>
        <w:pStyle w:val="BodyText"/>
      </w:pPr>
      <w:r>
        <w:t xml:space="preserve">Founders earn by contributing, same as everyone else. The team’s incentive is aligned with the protocol’s success because they participate in the same Shapley games as all other contributors. There is no extraction — only participation.</w:t>
      </w:r>
    </w:p>
    <w:p>
      <w:pPr>
        <w:pStyle w:val="BodyText"/>
      </w:pPr>
      <w:r>
        <w:t xml:space="preserve">This is not idealism. This is mechanism design. When insiders have pre-mined allocations, their incentive is to pump and dump. When everyone earns through contribution, the incentive is to build.</w:t>
      </w:r>
    </w:p>
    <w:bookmarkEnd w:id="10"/>
    <w:bookmarkStart w:id="11" w:name="wall-clock-halving"/>
    <w:p>
      <w:pPr>
        <w:pStyle w:val="Heading3"/>
      </w:pPr>
      <w:r>
        <w:t xml:space="preserve">Wall-Clock Halving</w:t>
      </w:r>
    </w:p>
    <w:p>
      <w:pPr>
        <w:pStyle w:val="FirstParagraph"/>
      </w:pPr>
      <w:r>
        <w:t xml:space="preserve">Bitcoin halves every 210,000 blocks. VIBE halves every 365.25 days of wall-clock time. The emission rate is:</w:t>
      </w:r>
    </w:p>
    <w:p>
      <w:pPr>
        <w:pStyle w:val="SourceCode"/>
      </w:pPr>
      <w:r>
        <w:rPr>
          <w:rStyle w:val="VerbatimChar"/>
        </w:rPr>
        <w:t xml:space="preserve">rate(era) = BASE_EMISSION_RATE &gt;&gt; era</w:t>
      </w:r>
    </w:p>
    <w:p>
      <w:pPr>
        <w:pStyle w:val="FirstParagraph"/>
      </w:pPr>
      <w:r>
        <w:t xml:space="preserve">Where</w:t>
      </w:r>
      <w:r>
        <w:t xml:space="preserve"> </w:t>
      </w:r>
      <w:r>
        <w:rPr>
          <w:rStyle w:val="VerbatimChar"/>
        </w:rPr>
        <w:t xml:space="preserve">era = (now - genesis) / eraDuration</w:t>
      </w:r>
      <w:r>
        <w:t xml:space="preserve">.</w:t>
      </w:r>
    </w:p>
    <w:p>
      <w:pPr>
        <w:pStyle w:val="BodyText"/>
      </w:pPr>
      <w:r>
        <w:t xml:space="preserve">This produces a geometric decay: ~10.5M VIBE in year 1, ~5.25M in year 2, ~2.625M in year 3, converging toward the 21M cap. After 32 halvings, new emissions effectively cease.</w:t>
      </w:r>
    </w:p>
    <w:bookmarkEnd w:id="11"/>
    <w:bookmarkStart w:id="12" w:name="accumulation-pool"/>
    <w:p>
      <w:pPr>
        <w:pStyle w:val="Heading3"/>
      </w:pPr>
      <w:r>
        <w:t xml:space="preserve">Accumulation Pool</w:t>
      </w:r>
    </w:p>
    <w:p>
      <w:pPr>
        <w:pStyle w:val="FirstParagraph"/>
      </w:pPr>
      <w:r>
        <w:t xml:space="preserve">The Shapley pool is not a standard rewards stream. It</w:t>
      </w:r>
      <w:r>
        <w:t xml:space="preserve"> </w:t>
      </w:r>
      <w:r>
        <w:rPr>
          <w:b/>
          <w:bCs/>
        </w:rPr>
        <w:t xml:space="preserve">accumulates</w:t>
      </w:r>
      <w:r>
        <w:t xml:space="preserve"> </w:t>
      </w:r>
      <w:r>
        <w:t xml:space="preserve">unclaimed emissions until drained by a contribution game. This creates natural incentive waves:</w:t>
      </w:r>
    </w:p>
    <w:p>
      <w:pPr>
        <w:pStyle w:val="Compact"/>
        <w:numPr>
          <w:ilvl w:val="0"/>
          <w:numId w:val="1001"/>
        </w:numPr>
      </w:pPr>
      <w:r>
        <w:t xml:space="preserve">Long gaps between games = bigger pool = bigger rewards</w:t>
      </w:r>
    </w:p>
    <w:p>
      <w:pPr>
        <w:pStyle w:val="Compact"/>
        <w:numPr>
          <w:ilvl w:val="0"/>
          <w:numId w:val="1001"/>
        </w:numPr>
      </w:pPr>
      <w:r>
        <w:t xml:space="preserve">Frequent games = smaller individual rewards but more consistent distribution</w:t>
      </w:r>
    </w:p>
    <w:p>
      <w:pPr>
        <w:pStyle w:val="Compact"/>
        <w:numPr>
          <w:ilvl w:val="0"/>
          <w:numId w:val="1001"/>
        </w:numPr>
      </w:pPr>
      <w:r>
        <w:t xml:space="preserve">The pool acts as a self-regulating incentive buffer</w:t>
      </w:r>
    </w:p>
    <w:p>
      <w:pPr>
        <w:pStyle w:val="FirstParagraph"/>
      </w:pPr>
      <w:r>
        <w:t xml:space="preserve">This is distinct from a gauge or staking reward stream where tokens flow linearly. The accumulation pattern rewards patience and creates punctuated equilibria — periods of building followed by reward events.</w:t>
      </w:r>
    </w:p>
    <w:p>
      <w:r>
        <w:pict>
          <v:rect style="width:0;height:1.5pt" o:hralign="center" o:hrstd="t" o:hr="t"/>
        </w:pict>
      </w:r>
    </w:p>
    <w:bookmarkEnd w:id="12"/>
    <w:bookmarkEnd w:id="13"/>
    <w:bookmarkStart w:id="15" w:name="architecture"/>
    <w:p>
      <w:pPr>
        <w:pStyle w:val="Heading2"/>
      </w:pPr>
      <w:r>
        <w:t xml:space="preserve">Architecture</w:t>
      </w:r>
    </w:p>
    <w:p>
      <w:pPr>
        <w:pStyle w:val="SourceCode"/>
      </w:pPr>
      <w:r>
        <w:rPr>
          <w:rStyle w:val="VerbatimChar"/>
        </w:rPr>
        <w:t xml:space="preserve">                    Wall Clock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EmissionController │</w:t>
      </w:r>
      <w:r>
        <w:br/>
      </w:r>
      <w:r>
        <w:rPr>
          <w:rStyle w:val="VerbatimChar"/>
        </w:rPr>
        <w:t xml:space="preserve">              │   drip()          │</w:t>
      </w:r>
      <w:r>
        <w:br/>
      </w:r>
      <w:r>
        <w:rPr>
          <w:rStyle w:val="VerbatimChar"/>
        </w:rPr>
        <w:t xml:space="preserve">              └────────┬──────────┘</w:t>
      </w:r>
      <w:r>
        <w:br/>
      </w:r>
      <w:r>
        <w:rPr>
          <w:rStyle w:val="VerbatimChar"/>
        </w:rPr>
        <w:t xml:space="preserve">                       │ mint VIBE</w:t>
      </w:r>
      <w:r>
        <w:br/>
      </w:r>
      <w:r>
        <w:rPr>
          <w:rStyle w:val="VerbatimChar"/>
        </w:rPr>
        <w:t xml:space="preserve">                       ▼</w:t>
      </w:r>
      <w:r>
        <w:br/>
      </w:r>
      <w:r>
        <w:rPr>
          <w:rStyle w:val="VerbatimChar"/>
        </w:rPr>
        <w:t xml:space="preserve">              ┌─────────────────┐</w:t>
      </w:r>
      <w:r>
        <w:br/>
      </w:r>
      <w:r>
        <w:rPr>
          <w:rStyle w:val="VerbatimChar"/>
        </w:rPr>
        <w:t xml:space="preserve">              │   Budget Split    │</w:t>
      </w:r>
      <w:r>
        <w:br/>
      </w:r>
      <w:r>
        <w:rPr>
          <w:rStyle w:val="VerbatimChar"/>
        </w:rPr>
        <w:t xml:space="preserve">              └──┬─────┬─────┬──┘</w:t>
      </w:r>
      <w:r>
        <w:br/>
      </w:r>
      <w:r>
        <w:rPr>
          <w:rStyle w:val="VerbatimChar"/>
        </w:rPr>
        <w:t xml:space="preserve">                 │     │     │</w:t>
      </w:r>
      <w:r>
        <w:br/>
      </w:r>
      <w:r>
        <w:rPr>
          <w:rStyle w:val="VerbatimChar"/>
        </w:rPr>
        <w:t xml:space="preserve">    50%          │     │     │  15%</w:t>
      </w:r>
      <w:r>
        <w:br/>
      </w:r>
      <w:r>
        <w:rPr>
          <w:rStyle w:val="VerbatimChar"/>
        </w:rPr>
        <w:t xml:space="preserve">    ┌────────────┘     │     └────────────┐</w:t>
      </w:r>
      <w:r>
        <w:br/>
      </w:r>
      <w:r>
        <w:rPr>
          <w:rStyle w:val="VerbatimChar"/>
        </w:rPr>
        <w:t xml:space="preserve">    ▼            35%   ▼                  ▼</w:t>
      </w:r>
      <w:r>
        <w:br/>
      </w:r>
      <w:r>
        <w:rPr>
          <w:rStyle w:val="VerbatimChar"/>
        </w:rPr>
        <w:t xml:space="preserve">┌─────────┐    ┌───────────┐    ┌──────────────┐</w:t>
      </w:r>
      <w:r>
        <w:br/>
      </w:r>
      <w:r>
        <w:rPr>
          <w:rStyle w:val="VerbatimChar"/>
        </w:rPr>
        <w:t xml:space="preserve">│ Shapley │    │ Liquidity │    │  Single      │</w:t>
      </w:r>
      <w:r>
        <w:br/>
      </w:r>
      <w:r>
        <w:rPr>
          <w:rStyle w:val="VerbatimChar"/>
        </w:rPr>
        <w:t xml:space="preserve">│  Pool   │    │   Gauge   │    │  Staking     │</w:t>
      </w:r>
      <w:r>
        <w:br/>
      </w:r>
      <w:r>
        <w:rPr>
          <w:rStyle w:val="VerbatimChar"/>
        </w:rPr>
        <w:t xml:space="preserve">│(accum.) │    │ (stream)  │    │  (periodic)  │</w:t>
      </w:r>
      <w:r>
        <w:br/>
      </w:r>
      <w:r>
        <w:rPr>
          <w:rStyle w:val="VerbatimChar"/>
        </w:rPr>
        <w:t xml:space="preserve">└────┬────┘    └───────────┘    └──────────────┘</w:t>
      </w:r>
      <w:r>
        <w:br/>
      </w:r>
      <w:r>
        <w:rPr>
          <w:rStyle w:val="VerbatimChar"/>
        </w:rPr>
        <w:t xml:space="preserve">     │</w:t>
      </w:r>
      <w:r>
        <w:br/>
      </w:r>
      <w:r>
        <w:rPr>
          <w:rStyle w:val="VerbatimChar"/>
        </w:rPr>
        <w:t xml:space="preserve">     ▼ createContributionGame()</w:t>
      </w:r>
      <w:r>
        <w:br/>
      </w:r>
      <w:r>
        <w:rPr>
          <w:rStyle w:val="VerbatimChar"/>
        </w:rPr>
        <w:t xml:space="preserve">┌─────────────────┐</w:t>
      </w:r>
      <w:r>
        <w:br/>
      </w:r>
      <w:r>
        <w:rPr>
          <w:rStyle w:val="VerbatimChar"/>
        </w:rPr>
        <w:t xml:space="preserve">│ ShapleyDistributor │</w:t>
      </w:r>
      <w:r>
        <w:br/>
      </w:r>
      <w:r>
        <w:rPr>
          <w:rStyle w:val="VerbatimChar"/>
        </w:rPr>
        <w:t xml:space="preserve">│  FEE_DISTRIBUTION  │</w:t>
      </w:r>
      <w:r>
        <w:br/>
      </w:r>
      <w:r>
        <w:rPr>
          <w:rStyle w:val="VerbatimChar"/>
        </w:rPr>
        <w:t xml:space="preserve">│  (no double-halving)│</w:t>
      </w:r>
      <w:r>
        <w:br/>
      </w:r>
      <w:r>
        <w:rPr>
          <w:rStyle w:val="VerbatimChar"/>
        </w:rPr>
        <w:t xml:space="preserve">└─────────────────┘</w:t>
      </w:r>
    </w:p>
    <w:bookmarkStart w:id="14" w:name="sinks"/>
    <w:p>
      <w:pPr>
        <w:pStyle w:val="Heading3"/>
      </w:pPr>
      <w:r>
        <w:t xml:space="preserve">Sinks</w:t>
      </w:r>
    </w:p>
    <w:tbl>
      <w:tblPr>
        <w:tblStyle w:val="Table"/>
        <w:tblW w:type="pct" w:w="5000"/>
        <w:tblLayout w:type="fixed"/>
        <w:tblLook w:firstRow="1" w:lastRow="0" w:firstColumn="0" w:lastColumn="0" w:noHBand="0" w:noVBand="0" w:val="0020"/>
      </w:tblPr>
      <w:tblGrid>
        <w:gridCol w:w="1188"/>
        <w:gridCol w:w="2574"/>
        <w:gridCol w:w="1980"/>
        <w:gridCol w:w="2178"/>
      </w:tblGrid>
      <w:tr>
        <w:trPr>
          <w:tblHeader w:val="on"/>
        </w:trPr>
        <w:tc>
          <w:tcPr/>
          <w:p>
            <w:pPr>
              <w:pStyle w:val="Compact"/>
            </w:pPr>
            <w:r>
              <w:t xml:space="preserve">Sink</w:t>
            </w:r>
          </w:p>
        </w:tc>
        <w:tc>
          <w:tcPr/>
          <w:p>
            <w:pPr>
              <w:pStyle w:val="Compact"/>
            </w:pPr>
            <w:r>
              <w:t xml:space="preserve">Default Share</w:t>
            </w:r>
          </w:p>
        </w:tc>
        <w:tc>
          <w:tcPr/>
          <w:p>
            <w:pPr>
              <w:pStyle w:val="Compact"/>
            </w:pPr>
            <w:r>
              <w:t xml:space="preserve">Behavior</w:t>
            </w:r>
          </w:p>
        </w:tc>
        <w:tc>
          <w:tcPr/>
          <w:p>
            <w:pPr>
              <w:pStyle w:val="Compact"/>
            </w:pPr>
            <w:r>
              <w:t xml:space="preserve">Recipient</w:t>
            </w:r>
          </w:p>
        </w:tc>
      </w:tr>
      <w:tr>
        <w:tc>
          <w:tcPr/>
          <w:p>
            <w:pPr>
              <w:pStyle w:val="Compact"/>
            </w:pPr>
            <w:r>
              <w:t xml:space="preserve">Shapley Pool</w:t>
            </w:r>
          </w:p>
        </w:tc>
        <w:tc>
          <w:tcPr/>
          <w:p>
            <w:pPr>
              <w:pStyle w:val="Compact"/>
            </w:pPr>
            <w:r>
              <w:t xml:space="preserve">50%</w:t>
            </w:r>
          </w:p>
        </w:tc>
        <w:tc>
          <w:tcPr/>
          <w:p>
            <w:pPr>
              <w:pStyle w:val="Compact"/>
            </w:pPr>
            <w:r>
              <w:t xml:space="preserve">Accumulates in EmissionController until drained</w:t>
            </w:r>
          </w:p>
        </w:tc>
        <w:tc>
          <w:tcPr/>
          <w:p>
            <w:pPr>
              <w:pStyle w:val="Compact"/>
            </w:pPr>
            <w:r>
              <w:t xml:space="preserve">ShapleyDistributor (on drain)</w:t>
            </w:r>
          </w:p>
        </w:tc>
      </w:tr>
      <w:tr>
        <w:tc>
          <w:tcPr/>
          <w:p>
            <w:pPr>
              <w:pStyle w:val="Compact"/>
            </w:pPr>
            <w:r>
              <w:t xml:space="preserve">Liquidity Gauge</w:t>
            </w:r>
          </w:p>
        </w:tc>
        <w:tc>
          <w:tcPr/>
          <w:p>
            <w:pPr>
              <w:pStyle w:val="Compact"/>
            </w:pPr>
            <w:r>
              <w:t xml:space="preserve">35%</w:t>
            </w:r>
          </w:p>
        </w:tc>
        <w:tc>
          <w:tcPr/>
          <w:p>
            <w:pPr>
              <w:pStyle w:val="Compact"/>
            </w:pPr>
            <w:r>
              <w:t xml:space="preserve">Transferred immediately on drip</w:t>
            </w:r>
          </w:p>
        </w:tc>
        <w:tc>
          <w:tcPr/>
          <w:p>
            <w:pPr>
              <w:pStyle w:val="Compact"/>
            </w:pPr>
            <w:r>
              <w:t xml:space="preserve">LiquidityGauge contract</w:t>
            </w:r>
          </w:p>
        </w:tc>
      </w:tr>
      <w:tr>
        <w:tc>
          <w:tcPr/>
          <w:p>
            <w:pPr>
              <w:pStyle w:val="Compact"/>
            </w:pPr>
            <w:r>
              <w:t xml:space="preserve">Single Staking</w:t>
            </w:r>
          </w:p>
        </w:tc>
        <w:tc>
          <w:tcPr/>
          <w:p>
            <w:pPr>
              <w:pStyle w:val="Compact"/>
            </w:pPr>
            <w:r>
              <w:t xml:space="preserve">15%</w:t>
            </w:r>
          </w:p>
        </w:tc>
        <w:tc>
          <w:tcPr/>
          <w:p>
            <w:pPr>
              <w:pStyle w:val="Compact"/>
            </w:pPr>
            <w:r>
              <w:t xml:space="preserve">Accumulated as pending, pushed via</w:t>
            </w:r>
            <w:r>
              <w:t xml:space="preserve"> </w:t>
            </w:r>
            <w:r>
              <w:rPr>
                <w:rStyle w:val="VerbatimChar"/>
              </w:rPr>
              <w:t xml:space="preserve">fundStaking()</w:t>
            </w:r>
          </w:p>
        </w:tc>
        <w:tc>
          <w:tcPr/>
          <w:p>
            <w:pPr>
              <w:pStyle w:val="Compact"/>
            </w:pPr>
            <w:r>
              <w:t xml:space="preserve">SingleStaking contract</w:t>
            </w:r>
          </w:p>
        </w:tc>
      </w:tr>
    </w:tbl>
    <w:p>
      <w:r>
        <w:pict>
          <v:rect style="width:0;height:1.5pt" o:hralign="center" o:hrstd="t" o:hr="t"/>
        </w:pict>
      </w:r>
    </w:p>
    <w:bookmarkEnd w:id="14"/>
    <w:bookmarkEnd w:id="15"/>
    <w:bookmarkStart w:id="19" w:name="emission-schedule"/>
    <w:p>
      <w:pPr>
        <w:pStyle w:val="Heading2"/>
      </w:pPr>
      <w:r>
        <w:t xml:space="preserve">Emission Schedule</w:t>
      </w:r>
    </w:p>
    <w:bookmarkStart w:id="16" w:name="constants"/>
    <w:p>
      <w:pPr>
        <w:pStyle w:val="Heading3"/>
      </w:pPr>
      <w:r>
        <w:t xml:space="preserve">Constants</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t xml:space="preserve">MAX_SUPPLY</w:t>
            </w:r>
          </w:p>
        </w:tc>
        <w:tc>
          <w:tcPr/>
          <w:p>
            <w:pPr>
              <w:pStyle w:val="Compact"/>
            </w:pPr>
            <w:r>
              <w:t xml:space="preserve">21,000,000 VIBE</w:t>
            </w:r>
          </w:p>
        </w:tc>
        <w:tc>
          <w:tcPr/>
          <w:p>
            <w:pPr>
              <w:pStyle w:val="Compact"/>
            </w:pPr>
            <w:r>
              <w:t xml:space="preserve">Bitcoin-aligned hard cap</w:t>
            </w:r>
          </w:p>
        </w:tc>
      </w:tr>
      <w:tr>
        <w:tc>
          <w:tcPr/>
          <w:p>
            <w:pPr>
              <w:pStyle w:val="Compact"/>
            </w:pPr>
            <w:r>
              <w:t xml:space="preserve">BASE_EMISSION_RATE</w:t>
            </w:r>
          </w:p>
        </w:tc>
        <w:tc>
          <w:tcPr/>
          <w:p>
            <w:pPr>
              <w:pStyle w:val="Compact"/>
            </w:pPr>
            <w:r>
              <w:t xml:space="preserve">332,880,110,000,000,000 wei/s</w:t>
            </w:r>
          </w:p>
        </w:tc>
        <w:tc>
          <w:tcPr/>
          <w:p>
            <w:pPr>
              <w:pStyle w:val="Compact"/>
            </w:pPr>
            <w:r>
              <w:t xml:space="preserve">~10.5M VIBE in year 1</w:t>
            </w:r>
          </w:p>
        </w:tc>
      </w:tr>
      <w:tr>
        <w:tc>
          <w:tcPr/>
          <w:p>
            <w:pPr>
              <w:pStyle w:val="Compact"/>
            </w:pPr>
            <w:r>
              <w:t xml:space="preserve">ERA_DURATION</w:t>
            </w:r>
          </w:p>
        </w:tc>
        <w:tc>
          <w:tcPr/>
          <w:p>
            <w:pPr>
              <w:pStyle w:val="Compact"/>
            </w:pPr>
            <w:r>
              <w:t xml:space="preserve">31,557,600 seconds</w:t>
            </w:r>
          </w:p>
        </w:tc>
        <w:tc>
          <w:tcPr/>
          <w:p>
            <w:pPr>
              <w:pStyle w:val="Compact"/>
            </w:pPr>
            <w:r>
              <w:t xml:space="preserve">365.25 days (1 year)</w:t>
            </w:r>
          </w:p>
        </w:tc>
      </w:tr>
      <w:tr>
        <w:tc>
          <w:tcPr/>
          <w:p>
            <w:pPr>
              <w:pStyle w:val="Compact"/>
            </w:pPr>
            <w:r>
              <w:t xml:space="preserve">MAX_ERAS</w:t>
            </w:r>
          </w:p>
        </w:tc>
        <w:tc>
          <w:tcPr/>
          <w:p>
            <w:pPr>
              <w:pStyle w:val="Compact"/>
            </w:pPr>
            <w:r>
              <w:t xml:space="preserve">32</w:t>
            </w:r>
          </w:p>
        </w:tc>
        <w:tc>
          <w:tcPr/>
          <w:p>
            <w:pPr>
              <w:pStyle w:val="Compact"/>
            </w:pPr>
            <w:r>
              <w:t xml:space="preserve">After 32 halvings, rate is effectively 0</w:t>
            </w:r>
          </w:p>
        </w:tc>
      </w:tr>
    </w:tbl>
    <w:bookmarkEnd w:id="16"/>
    <w:bookmarkStart w:id="17" w:name="halving-table"/>
    <w:p>
      <w:pPr>
        <w:pStyle w:val="Heading3"/>
      </w:pPr>
      <w:r>
        <w:t xml:space="preserve">Halving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Rate (VIBE/year)</w:t>
            </w:r>
          </w:p>
        </w:tc>
        <w:tc>
          <w:tcPr/>
          <w:p>
            <w:pPr>
              <w:pStyle w:val="Compact"/>
            </w:pPr>
            <w:r>
              <w:t xml:space="preserve">Cumulative (VIBE)</w:t>
            </w:r>
          </w:p>
        </w:tc>
        <w:tc>
          <w:tcPr/>
          <w:p>
            <w:pPr>
              <w:pStyle w:val="Compact"/>
            </w:pPr>
            <w:r>
              <w:t xml:space="preserve">% of Supply</w:t>
            </w:r>
          </w:p>
        </w:tc>
      </w:tr>
      <w:tr>
        <w:tc>
          <w:tcPr/>
          <w:p>
            <w:pPr>
              <w:pStyle w:val="Compact"/>
            </w:pPr>
            <w:r>
              <w:t xml:space="preserve">0</w:t>
            </w:r>
          </w:p>
        </w:tc>
        <w:tc>
          <w:tcPr/>
          <w:p>
            <w:pPr>
              <w:pStyle w:val="Compact"/>
            </w:pPr>
            <w:r>
              <w:t xml:space="preserve">~10,500,000</w:t>
            </w:r>
          </w:p>
        </w:tc>
        <w:tc>
          <w:tcPr/>
          <w:p>
            <w:pPr>
              <w:pStyle w:val="Compact"/>
            </w:pPr>
            <w:r>
              <w:t xml:space="preserve">~10,500,000</w:t>
            </w:r>
          </w:p>
        </w:tc>
        <w:tc>
          <w:tcPr/>
          <w:p>
            <w:pPr>
              <w:pStyle w:val="Compact"/>
            </w:pPr>
            <w:r>
              <w:t xml:space="preserve">50.0%</w:t>
            </w:r>
          </w:p>
        </w:tc>
      </w:tr>
      <w:tr>
        <w:tc>
          <w:tcPr/>
          <w:p>
            <w:pPr>
              <w:pStyle w:val="Compact"/>
            </w:pPr>
            <w:r>
              <w:t xml:space="preserve">1</w:t>
            </w:r>
          </w:p>
        </w:tc>
        <w:tc>
          <w:tcPr/>
          <w:p>
            <w:pPr>
              <w:pStyle w:val="Compact"/>
            </w:pPr>
            <w:r>
              <w:t xml:space="preserve">~5,250,000</w:t>
            </w:r>
          </w:p>
        </w:tc>
        <w:tc>
          <w:tcPr/>
          <w:p>
            <w:pPr>
              <w:pStyle w:val="Compact"/>
            </w:pPr>
            <w:r>
              <w:t xml:space="preserve">~15,750,000</w:t>
            </w:r>
          </w:p>
        </w:tc>
        <w:tc>
          <w:tcPr/>
          <w:p>
            <w:pPr>
              <w:pStyle w:val="Compact"/>
            </w:pPr>
            <w:r>
              <w:t xml:space="preserve">75.0%</w:t>
            </w:r>
          </w:p>
        </w:tc>
      </w:tr>
      <w:tr>
        <w:tc>
          <w:tcPr/>
          <w:p>
            <w:pPr>
              <w:pStyle w:val="Compact"/>
            </w:pPr>
            <w:r>
              <w:t xml:space="preserve">2</w:t>
            </w:r>
          </w:p>
        </w:tc>
        <w:tc>
          <w:tcPr/>
          <w:p>
            <w:pPr>
              <w:pStyle w:val="Compact"/>
            </w:pPr>
            <w:r>
              <w:t xml:space="preserve">~2,625,000</w:t>
            </w:r>
          </w:p>
        </w:tc>
        <w:tc>
          <w:tcPr/>
          <w:p>
            <w:pPr>
              <w:pStyle w:val="Compact"/>
            </w:pPr>
            <w:r>
              <w:t xml:space="preserve">~18,375,000</w:t>
            </w:r>
          </w:p>
        </w:tc>
        <w:tc>
          <w:tcPr/>
          <w:p>
            <w:pPr>
              <w:pStyle w:val="Compact"/>
            </w:pPr>
            <w:r>
              <w:t xml:space="preserve">87.5%</w:t>
            </w:r>
          </w:p>
        </w:tc>
      </w:tr>
      <w:tr>
        <w:tc>
          <w:tcPr/>
          <w:p>
            <w:pPr>
              <w:pStyle w:val="Compact"/>
            </w:pPr>
            <w:r>
              <w:t xml:space="preserve">3</w:t>
            </w:r>
          </w:p>
        </w:tc>
        <w:tc>
          <w:tcPr/>
          <w:p>
            <w:pPr>
              <w:pStyle w:val="Compact"/>
            </w:pPr>
            <w:r>
              <w:t xml:space="preserve">~1,312,500</w:t>
            </w:r>
          </w:p>
        </w:tc>
        <w:tc>
          <w:tcPr/>
          <w:p>
            <w:pPr>
              <w:pStyle w:val="Compact"/>
            </w:pPr>
            <w:r>
              <w:t xml:space="preserve">~19,687,500</w:t>
            </w:r>
          </w:p>
        </w:tc>
        <w:tc>
          <w:tcPr/>
          <w:p>
            <w:pPr>
              <w:pStyle w:val="Compact"/>
            </w:pPr>
            <w:r>
              <w:t xml:space="preserve">93.75%</w:t>
            </w:r>
          </w:p>
        </w:tc>
      </w:tr>
      <w:tr>
        <w:tc>
          <w:tcPr/>
          <w:p>
            <w:pPr>
              <w:pStyle w:val="Compact"/>
            </w:pPr>
            <w:r>
              <w:t xml:space="preserve">4</w:t>
            </w:r>
          </w:p>
        </w:tc>
        <w:tc>
          <w:tcPr/>
          <w:p>
            <w:pPr>
              <w:pStyle w:val="Compact"/>
            </w:pPr>
            <w:r>
              <w:t xml:space="preserve">~656,250</w:t>
            </w:r>
          </w:p>
        </w:tc>
        <w:tc>
          <w:tcPr/>
          <w:p>
            <w:pPr>
              <w:pStyle w:val="Compact"/>
            </w:pPr>
            <w:r>
              <w:t xml:space="preserve">~20,343,750</w:t>
            </w:r>
          </w:p>
        </w:tc>
        <w:tc>
          <w:tcPr/>
          <w:p>
            <w:pPr>
              <w:pStyle w:val="Compact"/>
            </w:pPr>
            <w:r>
              <w:t xml:space="preserve">96.875%</w:t>
            </w:r>
          </w:p>
        </w:tc>
      </w:tr>
      <w:tr>
        <w:tc>
          <w:tcPr/>
          <w:p>
            <w:pPr>
              <w:pStyle w:val="Compact"/>
            </w:pPr>
            <w:r>
              <w:t xml:space="preserve">5</w:t>
            </w:r>
          </w:p>
        </w:tc>
        <w:tc>
          <w:tcPr/>
          <w:p>
            <w:pPr>
              <w:pStyle w:val="Compact"/>
            </w:pPr>
            <w:r>
              <w:t xml:space="preserve">~328,125</w:t>
            </w:r>
          </w:p>
        </w:tc>
        <w:tc>
          <w:tcPr/>
          <w:p>
            <w:pPr>
              <w:pStyle w:val="Compact"/>
            </w:pPr>
            <w:r>
              <w:t xml:space="preserve">~20,671,875</w:t>
            </w:r>
          </w:p>
        </w:tc>
        <w:tc>
          <w:tcPr/>
          <w:p>
            <w:pPr>
              <w:pStyle w:val="Compact"/>
            </w:pPr>
            <w:r>
              <w:t xml:space="preserve">98.4375%</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31</w:t>
            </w:r>
          </w:p>
        </w:tc>
        <w:tc>
          <w:tcPr/>
          <w:p>
            <w:pPr>
              <w:pStyle w:val="Compact"/>
            </w:pPr>
            <w:r>
              <w:t xml:space="preserve">~0.005</w:t>
            </w:r>
          </w:p>
        </w:tc>
        <w:tc>
          <w:tcPr/>
          <w:p>
            <w:pPr>
              <w:pStyle w:val="Compact"/>
            </w:pPr>
            <w:r>
              <w:t xml:space="preserve">~21,000,000</w:t>
            </w:r>
          </w:p>
        </w:tc>
        <w:tc>
          <w:tcPr/>
          <w:p>
            <w:pPr>
              <w:pStyle w:val="Compact"/>
            </w:pPr>
            <w:r>
              <w:t xml:space="preserve">~100%</w:t>
            </w:r>
          </w:p>
        </w:tc>
      </w:tr>
    </w:tbl>
    <w:bookmarkEnd w:id="17"/>
    <w:bookmarkStart w:id="18" w:name="cross-era-accrual"/>
    <w:p>
      <w:pPr>
        <w:pStyle w:val="Heading3"/>
      </w:pPr>
      <w:r>
        <w:t xml:space="preserve">Cross-Era Accrual</w:t>
      </w:r>
    </w:p>
    <w:p>
      <w:pPr>
        <w:pStyle w:val="FirstParagraph"/>
      </w:pPr>
      <w:r>
        <w:t xml:space="preserve">When</w:t>
      </w:r>
      <w:r>
        <w:t xml:space="preserve"> </w:t>
      </w:r>
      <w:r>
        <w:rPr>
          <w:rStyle w:val="VerbatimChar"/>
        </w:rPr>
        <w:t xml:space="preserve">drip()</w:t>
      </w:r>
      <w:r>
        <w:t xml:space="preserve"> </w:t>
      </w:r>
      <w:r>
        <w:t xml:space="preserve">is called after a long gap that spans multiple eras, the contract correctly calculates emissions for each partial era:</w:t>
      </w:r>
    </w:p>
    <w:p>
      <w:pPr>
        <w:pStyle w:val="SourceCode"/>
      </w:pPr>
      <w:r>
        <w:rPr>
          <w:rStyle w:val="VerbatimChar"/>
        </w:rPr>
        <w:t xml:space="preserve">for each era 0..32:</w:t>
      </w:r>
      <w:r>
        <w:br/>
      </w:r>
      <w:r>
        <w:rPr>
          <w:rStyle w:val="VerbatimChar"/>
        </w:rPr>
        <w:t xml:space="preserve">    if era overlaps [lastDripTime, now]:</w:t>
      </w:r>
      <w:r>
        <w:br/>
      </w:r>
      <w:r>
        <w:rPr>
          <w:rStyle w:val="VerbatimChar"/>
        </w:rPr>
        <w:t xml:space="preserve">        overlap = min(now, eraEnd) - max(lastDripTime, eraStart)</w:t>
      </w:r>
      <w:r>
        <w:br/>
      </w:r>
      <w:r>
        <w:rPr>
          <w:rStyle w:val="VerbatimChar"/>
        </w:rPr>
        <w:t xml:space="preserve">        total += (BASE_RATE &gt;&gt; era) * overlap</w:t>
      </w:r>
    </w:p>
    <w:p>
      <w:pPr>
        <w:pStyle w:val="FirstParagraph"/>
      </w:pPr>
      <w:r>
        <w:t xml:space="preserve">This loop is bounded at 32 iterations, making gas costs predictable regardless of the time gap.</w:t>
      </w:r>
    </w:p>
    <w:p>
      <w:r>
        <w:pict>
          <v:rect style="width:0;height:1.5pt" o:hralign="center" o:hrstd="t" o:hr="t"/>
        </w:pict>
      </w:r>
    </w:p>
    <w:bookmarkEnd w:id="18"/>
    <w:bookmarkEnd w:id="19"/>
    <w:bookmarkStart w:id="23" w:name="core-functions"/>
    <w:p>
      <w:pPr>
        <w:pStyle w:val="Heading2"/>
      </w:pPr>
      <w:r>
        <w:t xml:space="preserve">Core Functions</w:t>
      </w:r>
    </w:p>
    <w:bookmarkStart w:id="20" w:name="drip-permissionless"/>
    <w:p>
      <w:pPr>
        <w:pStyle w:val="Heading3"/>
      </w:pPr>
      <w:r>
        <w:rPr>
          <w:rStyle w:val="VerbatimChar"/>
        </w:rPr>
        <w:t xml:space="preserve">drip()</w:t>
      </w:r>
      <w:r>
        <w:t xml:space="preserve"> </w:t>
      </w:r>
      <w:r>
        <w:t xml:space="preserve">— Permissionless</w:t>
      </w:r>
    </w:p>
    <w:p>
      <w:pPr>
        <w:pStyle w:val="FirstParagraph"/>
      </w:pPr>
      <w:r>
        <w:t xml:space="preserve">Anyone can call</w:t>
      </w:r>
      <w:r>
        <w:t xml:space="preserve"> </w:t>
      </w:r>
      <w:r>
        <w:rPr>
          <w:rStyle w:val="VerbatimChar"/>
        </w:rPr>
        <w:t xml:space="preserve">drip()</w:t>
      </w:r>
      <w:r>
        <w:t xml:space="preserve"> </w:t>
      </w:r>
      <w:r>
        <w:t xml:space="preserve">to advance the emission clock. This mints accrued VIBE and splits it to the three sinks.</w:t>
      </w:r>
    </w:p>
    <w:p>
      <w:pPr>
        <w:pStyle w:val="BodyText"/>
      </w:pPr>
      <w:r>
        <w:rPr>
          <w:b/>
          <w:bCs/>
        </w:rPr>
        <w:t xml:space="preserve">Gas:</w:t>
      </w:r>
      <w:r>
        <w:t xml:space="preserve"> </w:t>
      </w:r>
      <w:r>
        <w:t xml:space="preserve">~220K (single era) to ~280K (cross-era)</w:t>
      </w:r>
    </w:p>
    <w:p>
      <w:pPr>
        <w:pStyle w:val="BodyText"/>
      </w:pPr>
      <w:r>
        <w:rPr>
          <w:b/>
          <w:bCs/>
        </w:rPr>
        <w:t xml:space="preserve">Flow:</w:t>
      </w:r>
      <w:r>
        <w:t xml:space="preserve"> </w:t>
      </w:r>
      <w:r>
        <w:t xml:space="preserve">1. Calculate pending emissions (cross-era aware)</w:t>
      </w:r>
      <w:r>
        <w:t xml:space="preserve"> </w:t>
      </w:r>
      <w:r>
        <w:t xml:space="preserve">2. Cap at</w:t>
      </w:r>
      <w:r>
        <w:t xml:space="preserve"> </w:t>
      </w:r>
      <w:r>
        <w:rPr>
          <w:rStyle w:val="VerbatimChar"/>
        </w:rPr>
        <w:t xml:space="preserve">vibeToken.mintableSupply()</w:t>
      </w:r>
      <w:r>
        <w:t xml:space="preserve"> </w:t>
      </w:r>
      <w:r>
        <w:t xml:space="preserve">(MAX_SUPPLY guard)</w:t>
      </w:r>
      <w:r>
        <w:t xml:space="preserve"> </w:t>
      </w:r>
      <w:r>
        <w:t xml:space="preserve">3. Mint VIBE to EmissionController</w:t>
      </w:r>
      <w:r>
        <w:t xml:space="preserve"> </w:t>
      </w:r>
      <w:r>
        <w:t xml:space="preserve">4. Split: shapleyPool += 50%, transfer 35% to gauge, stakingPending += 15%</w:t>
      </w:r>
    </w:p>
    <w:bookmarkEnd w:id="20"/>
    <w:bookmarkStart w:id="21" w:name="X32686eb0be7fcb738254c7269cb5da3fa8db8f6"/>
    <w:p>
      <w:pPr>
        <w:pStyle w:val="Heading3"/>
      </w:pPr>
      <w:r>
        <w:rPr>
          <w:rStyle w:val="VerbatimChar"/>
        </w:rPr>
        <w:t xml:space="preserve">createContributionGame()</w:t>
      </w:r>
      <w:r>
        <w:t xml:space="preserve"> </w:t>
      </w:r>
      <w:r>
        <w:t xml:space="preserve">— Authorized Drainers Only</w:t>
      </w:r>
    </w:p>
    <w:p>
      <w:pPr>
        <w:pStyle w:val="FirstParagraph"/>
      </w:pPr>
      <w:r>
        <w:t xml:space="preserve">Drains a percentage of the Shapley pool to create a ShapleyDistributor game. The game is created AND settled in one call, making rewards immediately claimable.</w:t>
      </w:r>
    </w:p>
    <w:p>
      <w:pPr>
        <w:pStyle w:val="BodyText"/>
      </w:pPr>
      <w:r>
        <w:rPr>
          <w:b/>
          <w:bCs/>
        </w:rPr>
        <w:t xml:space="preserve">Parameters:</w:t>
      </w:r>
      <w:r>
        <w:t xml:space="preserve"> </w:t>
      </w:r>
      <w:r>
        <w:t xml:space="preserve">-</w:t>
      </w:r>
      <w:r>
        <w:t xml:space="preserve"> </w:t>
      </w:r>
      <w:r>
        <w:rPr>
          <w:rStyle w:val="VerbatimChar"/>
        </w:rPr>
        <w:t xml:space="preserve">gameId</w:t>
      </w:r>
      <w:r>
        <w:t xml:space="preserve"> </w:t>
      </w:r>
      <w:r>
        <w:t xml:space="preserve">— Unique game identifier</w:t>
      </w:r>
      <w:r>
        <w:t xml:space="preserve"> </w:t>
      </w:r>
      <w:r>
        <w:t xml:space="preserve">-</w:t>
      </w:r>
      <w:r>
        <w:t xml:space="preserve"> </w:t>
      </w:r>
      <w:r>
        <w:rPr>
          <w:rStyle w:val="VerbatimChar"/>
        </w:rPr>
        <w:t xml:space="preserve">participants</w:t>
      </w:r>
      <w:r>
        <w:t xml:space="preserve"> </w:t>
      </w:r>
      <w:r>
        <w:t xml:space="preserve">— ShapleyDistributor.Participant[] array</w:t>
      </w:r>
      <w:r>
        <w:t xml:space="preserve"> </w:t>
      </w:r>
      <w:r>
        <w:t xml:space="preserve">-</w:t>
      </w:r>
      <w:r>
        <w:t xml:space="preserve"> </w:t>
      </w:r>
      <w:r>
        <w:rPr>
          <w:rStyle w:val="VerbatimChar"/>
        </w:rPr>
        <w:t xml:space="preserve">drainBps</w:t>
      </w:r>
      <w:r>
        <w:t xml:space="preserve"> </w:t>
      </w:r>
      <w:r>
        <w:t xml:space="preserve">— Percentage of pool to drain (capped at</w:t>
      </w:r>
      <w:r>
        <w:t xml:space="preserve"> </w:t>
      </w:r>
      <w:r>
        <w:rPr>
          <w:rStyle w:val="VerbatimChar"/>
        </w:rPr>
        <w:t xml:space="preserve">maxDrainBps</w:t>
      </w:r>
      <w:r>
        <w:t xml:space="preserve">)</w:t>
      </w:r>
    </w:p>
    <w:p>
      <w:pPr>
        <w:pStyle w:val="BodyText"/>
      </w:pPr>
      <w:r>
        <w:rPr>
          <w:b/>
          <w:bCs/>
        </w:rPr>
        <w:t xml:space="preserve">Minimum drain:</w:t>
      </w:r>
      <w:r>
        <w:t xml:space="preserve"> </w:t>
      </w:r>
      <w:r>
        <w:t xml:space="preserve">Uses percentage-based minimum (</w:t>
      </w:r>
      <w:r>
        <w:rPr>
          <w:rStyle w:val="VerbatimChar"/>
        </w:rPr>
        <w:t xml:space="preserve">minDrainBps</w:t>
      </w:r>
      <w:r>
        <w:t xml:space="preserve">, default 1% of pool). This scales naturally with VIBE price — no oracle, no trusted third party needed. An optional absolute floor (</w:t>
      </w:r>
      <w:r>
        <w:rPr>
          <w:rStyle w:val="VerbatimChar"/>
        </w:rPr>
        <w:t xml:space="preserve">minDrainAmount</w:t>
      </w:r>
      <w:r>
        <w:t xml:space="preserve">, default 0) is available for governance to set if desired.</w:t>
      </w:r>
    </w:p>
    <w:p>
      <w:pPr>
        <w:pStyle w:val="BodyText"/>
      </w:pPr>
      <w:r>
        <w:rPr>
          <w:b/>
          <w:bCs/>
        </w:rPr>
        <w:t xml:space="preserve">Game type:</w:t>
      </w:r>
      <w:r>
        <w:t xml:space="preserve"> </w:t>
      </w:r>
      <w:r>
        <w:t xml:space="preserve">FEE_DISTRIBUTION (not TOKEN_EMISSION). This avoids double-halving — EmissionController already applies the wall-clock halving to the emission rate, so ShapleyDistributor should distribute the full amount without additional halving.</w:t>
      </w:r>
    </w:p>
    <w:bookmarkEnd w:id="21"/>
    <w:bookmarkStart w:id="22" w:name="fundstaking-permissionless"/>
    <w:p>
      <w:pPr>
        <w:pStyle w:val="Heading3"/>
      </w:pPr>
      <w:r>
        <w:rPr>
          <w:rStyle w:val="VerbatimChar"/>
        </w:rPr>
        <w:t xml:space="preserve">fundStaking()</w:t>
      </w:r>
      <w:r>
        <w:t xml:space="preserve"> </w:t>
      </w:r>
      <w:r>
        <w:t xml:space="preserve">— Permissionless</w:t>
      </w:r>
    </w:p>
    <w:p>
      <w:pPr>
        <w:pStyle w:val="FirstParagraph"/>
      </w:pPr>
      <w:r>
        <w:t xml:space="preserve">Pushes accumulated staking pending to SingleStaking via</w:t>
      </w:r>
      <w:r>
        <w:t xml:space="preserve"> </w:t>
      </w:r>
      <w:r>
        <w:rPr>
          <w:rStyle w:val="VerbatimChar"/>
        </w:rPr>
        <w:t xml:space="preserve">approve</w:t>
      </w:r>
      <w:r>
        <w:t xml:space="preserve"> </w:t>
      </w:r>
      <w:r>
        <w:t xml:space="preserve">+</w:t>
      </w:r>
      <w:r>
        <w:t xml:space="preserve"> </w:t>
      </w:r>
      <w:r>
        <w:rPr>
          <w:rStyle w:val="VerbatimChar"/>
        </w:rPr>
        <w:t xml:space="preserve">notifyRewardAmount</w:t>
      </w:r>
      <w:r>
        <w:t xml:space="preserve">. Anyone can call — the protocol should run automatically.</w:t>
      </w:r>
    </w:p>
    <w:p>
      <w:pPr>
        <w:pStyle w:val="BodyText"/>
      </w:pPr>
      <w:r>
        <w:rPr>
          <w:b/>
          <w:bCs/>
        </w:rPr>
        <w:t xml:space="preserve">Requirement:</w:t>
      </w:r>
      <w:r>
        <w:t xml:space="preserve"> </w:t>
      </w:r>
      <w:r>
        <w:t xml:space="preserve">EmissionController must be the owner of SingleStaking (so</w:t>
      </w:r>
      <w:r>
        <w:t xml:space="preserve"> </w:t>
      </w:r>
      <w:r>
        <w:rPr>
          <w:rStyle w:val="VerbatimChar"/>
        </w:rPr>
        <w:t xml:space="preserve">notifyRewardAmount</w:t>
      </w:r>
      <w:r>
        <w:t xml:space="preserve"> </w:t>
      </w:r>
      <w:r>
        <w:t xml:space="preserve">succeeds).</w:t>
      </w:r>
    </w:p>
    <w:p>
      <w:r>
        <w:pict>
          <v:rect style="width:0;height:1.5pt" o:hralign="center" o:hrstd="t" o:hr="t"/>
        </w:pict>
      </w:r>
    </w:p>
    <w:bookmarkEnd w:id="22"/>
    <w:bookmarkEnd w:id="23"/>
    <w:bookmarkStart w:id="27" w:name="configuration"/>
    <w:p>
      <w:pPr>
        <w:pStyle w:val="Heading2"/>
      </w:pPr>
      <w:r>
        <w:t xml:space="preserve">Configuration</w:t>
      </w:r>
    </w:p>
    <w:bookmarkStart w:id="24" w:name="budget-split"/>
    <w:p>
      <w:pPr>
        <w:pStyle w:val="Heading3"/>
      </w:pPr>
      <w:r>
        <w:t xml:space="preserve">Budget Split</w:t>
      </w:r>
    </w:p>
    <w:p>
      <w:pPr>
        <w:pStyle w:val="FirstParagraph"/>
      </w:pPr>
      <w:r>
        <w:t xml:space="preserve">The budget is adjustable by governance (onlyOwner):</w:t>
      </w:r>
    </w:p>
    <w:p>
      <w:pPr>
        <w:pStyle w:val="SourceCode"/>
      </w:pPr>
      <w:r>
        <w:rPr>
          <w:rStyle w:val="VerbatimChar"/>
        </w:rPr>
        <w:t xml:space="preserve">ec.setBudget(shapleyBps, gaugeBps, stakingBps);</w:t>
      </w:r>
      <w:r>
        <w:br/>
      </w:r>
      <w:r>
        <w:rPr>
          <w:rStyle w:val="VerbatimChar"/>
        </w:rPr>
        <w:t xml:space="preserve">// Must sum to 10,000 (100%)</w:t>
      </w:r>
    </w:p>
    <w:p>
      <w:pPr>
        <w:pStyle w:val="FirstParagraph"/>
      </w:pPr>
      <w:r>
        <w:t xml:space="preserve">Default: 5000/3500/1500 (50/35/15).</w:t>
      </w:r>
    </w:p>
    <w:bookmarkEnd w:id="24"/>
    <w:bookmarkStart w:id="25" w:name="drain-parameters"/>
    <w:p>
      <w:pPr>
        <w:pStyle w:val="Heading3"/>
      </w:pPr>
      <w:r>
        <w:t xml:space="preserve">Drain Parameters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Purpose</w:t>
            </w:r>
          </w:p>
        </w:tc>
      </w:tr>
      <w:tr>
        <w:tc>
          <w:tcPr/>
          <w:p>
            <w:pPr>
              <w:pStyle w:val="Compact"/>
            </w:pPr>
            <w:r>
              <w:t xml:space="preserve">maxDrainBps</w:t>
            </w:r>
          </w:p>
        </w:tc>
        <w:tc>
          <w:tcPr/>
          <w:p>
            <w:pPr>
              <w:pStyle w:val="Compact"/>
            </w:pPr>
            <w:r>
              <w:t xml:space="preserve">5000</w:t>
            </w:r>
          </w:p>
        </w:tc>
        <w:tc>
          <w:tcPr/>
          <w:p>
            <w:pPr>
              <w:pStyle w:val="Compact"/>
            </w:pPr>
            <w:r>
              <w:t xml:space="preserve">Max 50% of pool per game — prevents single drain from emptying pool</w:t>
            </w:r>
          </w:p>
        </w:tc>
      </w:tr>
      <w:tr>
        <w:tc>
          <w:tcPr/>
          <w:p>
            <w:pPr>
              <w:pStyle w:val="Compact"/>
            </w:pPr>
            <w:r>
              <w:t xml:space="preserve">minDrainBps</w:t>
            </w:r>
          </w:p>
        </w:tc>
        <w:tc>
          <w:tcPr/>
          <w:p>
            <w:pPr>
              <w:pStyle w:val="Compact"/>
            </w:pPr>
            <w:r>
              <w:t xml:space="preserve">100</w:t>
            </w:r>
          </w:p>
        </w:tc>
        <w:tc>
          <w:tcPr/>
          <w:p>
            <w:pPr>
              <w:pStyle w:val="Compact"/>
            </w:pPr>
            <w:r>
              <w:t xml:space="preserve">Min 1% of pool — percentage-based, scales with price</w:t>
            </w:r>
          </w:p>
        </w:tc>
      </w:tr>
      <w:tr>
        <w:tc>
          <w:tcPr/>
          <w:p>
            <w:pPr>
              <w:pStyle w:val="Compact"/>
            </w:pPr>
            <w:r>
              <w:t xml:space="preserve">minDrainAmount</w:t>
            </w:r>
          </w:p>
        </w:tc>
        <w:tc>
          <w:tcPr/>
          <w:p>
            <w:pPr>
              <w:pStyle w:val="Compact"/>
            </w:pPr>
            <w:r>
              <w:t xml:space="preserve">0</w:t>
            </w:r>
          </w:p>
        </w:tc>
        <w:tc>
          <w:tcPr/>
          <w:p>
            <w:pPr>
              <w:pStyle w:val="Compact"/>
            </w:pPr>
            <w:r>
              <w:t xml:space="preserve">Optional absolute floor (governance can set)</w:t>
            </w:r>
          </w:p>
        </w:tc>
      </w:tr>
    </w:tbl>
    <w:bookmarkEnd w:id="25"/>
    <w:bookmarkStart w:id="26" w:name="staking"/>
    <w:p>
      <w:pPr>
        <w:pStyle w:val="Heading3"/>
      </w:pPr>
      <w:r>
        <w:t xml:space="preserve">Staking</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Purpose</w:t>
            </w:r>
          </w:p>
        </w:tc>
      </w:tr>
      <w:tr>
        <w:tc>
          <w:tcPr/>
          <w:p>
            <w:pPr>
              <w:pStyle w:val="Compact"/>
            </w:pPr>
            <w:r>
              <w:t xml:space="preserve">stakingRewardDuration</w:t>
            </w:r>
          </w:p>
        </w:tc>
        <w:tc>
          <w:tcPr/>
          <w:p>
            <w:pPr>
              <w:pStyle w:val="Compact"/>
            </w:pPr>
            <w:r>
              <w:t xml:space="preserve">7 days</w:t>
            </w:r>
          </w:p>
        </w:tc>
        <w:tc>
          <w:tcPr/>
          <w:p>
            <w:pPr>
              <w:pStyle w:val="Compact"/>
            </w:pPr>
            <w:r>
              <w:t xml:space="preserve">Reward period for each</w:t>
            </w:r>
            <w:r>
              <w:t xml:space="preserve"> </w:t>
            </w:r>
            <w:r>
              <w:rPr>
                <w:rStyle w:val="VerbatimChar"/>
              </w:rPr>
              <w:t xml:space="preserve">fundStaking()</w:t>
            </w:r>
            <w:r>
              <w:t xml:space="preserve"> </w:t>
            </w:r>
            <w:r>
              <w:t xml:space="preserve">call</w:t>
            </w:r>
          </w:p>
        </w:tc>
      </w:tr>
    </w:tbl>
    <w:p>
      <w:r>
        <w:pict>
          <v:rect style="width:0;height:1.5pt" o:hralign="center" o:hrstd="t" o:hr="t"/>
        </w:pict>
      </w:r>
    </w:p>
    <w:bookmarkEnd w:id="26"/>
    <w:bookmarkEnd w:id="27"/>
    <w:bookmarkStart w:id="28" w:name="invariants"/>
    <w:p>
      <w:pPr>
        <w:pStyle w:val="Heading2"/>
      </w:pPr>
      <w:r>
        <w:t xml:space="preserve">Invariants</w:t>
      </w:r>
    </w:p>
    <w:p>
      <w:pPr>
        <w:pStyle w:val="FirstParagraph"/>
      </w:pPr>
      <w:r>
        <w:t xml:space="preserve">These hold at all times, verified by 7 invariant tests with 256 runs x 128K calls each:</w:t>
      </w:r>
    </w:p>
    <w:p>
      <w:pPr>
        <w:pStyle w:val="Compact"/>
        <w:numPr>
          <w:ilvl w:val="0"/>
          <w:numId w:val="1002"/>
        </w:numPr>
      </w:pPr>
      <w:r>
        <w:rPr>
          <w:b/>
          <w:bCs/>
        </w:rPr>
        <w:t xml:space="preserve">Supply cap:</w:t>
      </w:r>
      <w:r>
        <w:t xml:space="preserve"> </w:t>
      </w:r>
      <w:r>
        <w:rPr>
          <w:rStyle w:val="VerbatimChar"/>
        </w:rPr>
        <w:t xml:space="preserve">totalEmitted &lt;= MAX_SUPPLY</w:t>
      </w:r>
    </w:p>
    <w:p>
      <w:pPr>
        <w:pStyle w:val="Compact"/>
        <w:numPr>
          <w:ilvl w:val="0"/>
          <w:numId w:val="1002"/>
        </w:numPr>
      </w:pPr>
      <w:r>
        <w:rPr>
          <w:b/>
          <w:bCs/>
        </w:rPr>
        <w:t xml:space="preserve">Accounting identity:</w:t>
      </w:r>
      <w:r>
        <w:t xml:space="preserve"> </w:t>
      </w:r>
      <w:r>
        <w:rPr>
          <w:rStyle w:val="VerbatimChar"/>
        </w:rPr>
        <w:t xml:space="preserve">shapleyPool + totalShapleyDrained + totalGaugeFunded + stakingPending + totalStakingFunded == totalEmitted</w:t>
      </w:r>
    </w:p>
    <w:p>
      <w:pPr>
        <w:pStyle w:val="Compact"/>
        <w:numPr>
          <w:ilvl w:val="0"/>
          <w:numId w:val="1002"/>
        </w:numPr>
      </w:pPr>
      <w:r>
        <w:rPr>
          <w:b/>
          <w:bCs/>
        </w:rPr>
        <w:t xml:space="preserve">Solvency:</w:t>
      </w:r>
      <w:r>
        <w:t xml:space="preserve"> </w:t>
      </w:r>
      <w:r>
        <w:rPr>
          <w:rStyle w:val="VerbatimChar"/>
        </w:rPr>
        <w:t xml:space="preserve">VIBE.balanceOf(EmissionController) &gt;= shapleyPool + stakingPending</w:t>
      </w:r>
    </w:p>
    <w:p>
      <w:pPr>
        <w:pStyle w:val="Compact"/>
        <w:numPr>
          <w:ilvl w:val="0"/>
          <w:numId w:val="1002"/>
        </w:numPr>
      </w:pPr>
      <w:r>
        <w:rPr>
          <w:b/>
          <w:bCs/>
        </w:rPr>
        <w:t xml:space="preserve">Rate monotonicity:</w:t>
      </w:r>
      <w:r>
        <w:t xml:space="preserve"> </w:t>
      </w:r>
      <w:r>
        <w:rPr>
          <w:rStyle w:val="VerbatimChar"/>
        </w:rPr>
        <w:t xml:space="preserve">getCurrentRate() &lt;= BASE_EMISSION_RATE</w:t>
      </w:r>
    </w:p>
    <w:p>
      <w:pPr>
        <w:pStyle w:val="Compact"/>
        <w:numPr>
          <w:ilvl w:val="0"/>
          <w:numId w:val="1002"/>
        </w:numPr>
      </w:pPr>
      <w:r>
        <w:rPr>
          <w:b/>
          <w:bCs/>
        </w:rPr>
        <w:t xml:space="preserve">Era bound:</w:t>
      </w:r>
      <w:r>
        <w:t xml:space="preserve"> </w:t>
      </w:r>
      <w:r>
        <w:rPr>
          <w:rStyle w:val="VerbatimChar"/>
        </w:rPr>
        <w:t xml:space="preserve">getCurrentEra() &lt;= MAX_ERAS</w:t>
      </w:r>
    </w:p>
    <w:p>
      <w:pPr>
        <w:pStyle w:val="Compact"/>
        <w:numPr>
          <w:ilvl w:val="0"/>
          <w:numId w:val="1002"/>
        </w:numPr>
      </w:pPr>
      <w:r>
        <w:rPr>
          <w:b/>
          <w:bCs/>
        </w:rPr>
        <w:t xml:space="preserve">Gauge balance:</w:t>
      </w:r>
      <w:r>
        <w:t xml:space="preserve"> </w:t>
      </w:r>
      <w:r>
        <w:rPr>
          <w:rStyle w:val="VerbatimChar"/>
        </w:rPr>
        <w:t xml:space="preserve">VIBE.balanceOf(gauge) == totalGaugeFunded</w:t>
      </w:r>
    </w:p>
    <w:p>
      <w:r>
        <w:pict>
          <v:rect style="width:0;height:1.5pt" o:hralign="center" o:hrstd="t" o:hr="t"/>
        </w:pict>
      </w:r>
    </w:p>
    <w:bookmarkEnd w:id="28"/>
    <w:bookmarkStart w:id="32" w:name="integration"/>
    <w:p>
      <w:pPr>
        <w:pStyle w:val="Heading2"/>
      </w:pPr>
      <w:r>
        <w:t xml:space="preserve">Integration</w:t>
      </w:r>
    </w:p>
    <w:bookmarkStart w:id="29" w:name="deployment-steps"/>
    <w:p>
      <w:pPr>
        <w:pStyle w:val="Heading3"/>
      </w:pPr>
      <w:r>
        <w:t xml:space="preserve">Deployment Steps</w:t>
      </w:r>
    </w:p>
    <w:p>
      <w:pPr>
        <w:numPr>
          <w:ilvl w:val="0"/>
          <w:numId w:val="1003"/>
        </w:numPr>
      </w:pPr>
      <w:r>
        <w:t xml:space="preserve">Deploy VIBEToken (if not already deployed)</w:t>
      </w:r>
    </w:p>
    <w:p>
      <w:pPr>
        <w:numPr>
          <w:ilvl w:val="0"/>
          <w:numId w:val="1003"/>
        </w:numPr>
      </w:pPr>
      <w:r>
        <w:t xml:space="preserve">Deploy ShapleyDistributor (if not already deployed)</w:t>
      </w:r>
    </w:p>
    <w:p>
      <w:pPr>
        <w:numPr>
          <w:ilvl w:val="0"/>
          <w:numId w:val="1003"/>
        </w:numPr>
      </w:pPr>
      <w:r>
        <w:t xml:space="preserve">Deploy LiquidityGauge with VIBE as reward token</w:t>
      </w:r>
    </w:p>
    <w:p>
      <w:pPr>
        <w:numPr>
          <w:ilvl w:val="0"/>
          <w:numId w:val="1003"/>
        </w:numPr>
      </w:pPr>
      <w:r>
        <w:t xml:space="preserve">Deploy SingleStaking with VIBE as reward token</w:t>
      </w:r>
    </w:p>
    <w:p>
      <w:pPr>
        <w:numPr>
          <w:ilvl w:val="0"/>
          <w:numId w:val="1003"/>
        </w:numPr>
      </w:pPr>
      <w:r>
        <w:t xml:space="preserve">Deploy EmissionController via UUPS proxy:</w:t>
      </w:r>
    </w:p>
    <w:p>
      <w:pPr>
        <w:pStyle w:val="SourceCode"/>
        <w:numPr>
          <w:ilvl w:val="0"/>
          <w:numId w:val="1000"/>
        </w:numPr>
      </w:pPr>
      <w:r>
        <w:rPr>
          <w:rStyle w:val="VerbatimChar"/>
        </w:rPr>
        <w:t xml:space="preserve">EmissionController impl = new EmissionController();</w:t>
      </w:r>
      <w:r>
        <w:br/>
      </w:r>
      <w:r>
        <w:rPr>
          <w:rStyle w:val="VerbatimChar"/>
        </w:rPr>
        <w:t xml:space="preserve">ERC1967Proxy proxy = new ERC1967Proxy(</w:t>
      </w:r>
      <w:r>
        <w:br/>
      </w:r>
      <w:r>
        <w:rPr>
          <w:rStyle w:val="VerbatimChar"/>
        </w:rPr>
        <w:t xml:space="preserve">    address(impl),</w:t>
      </w:r>
      <w:r>
        <w:br/>
      </w:r>
      <w:r>
        <w:rPr>
          <w:rStyle w:val="VerbatimChar"/>
        </w:rPr>
        <w:t xml:space="preserve">    abi.encodeCall(EmissionController.initialize, (</w:t>
      </w:r>
      <w:r>
        <w:br/>
      </w:r>
      <w:r>
        <w:rPr>
          <w:rStyle w:val="VerbatimChar"/>
        </w:rPr>
        <w:t xml:space="preserve">        governanceMultisig,</w:t>
      </w:r>
      <w:r>
        <w:br/>
      </w:r>
      <w:r>
        <w:rPr>
          <w:rStyle w:val="VerbatimChar"/>
        </w:rPr>
        <w:t xml:space="preserve">        address(vibeToken),</w:t>
      </w:r>
      <w:r>
        <w:br/>
      </w:r>
      <w:r>
        <w:rPr>
          <w:rStyle w:val="VerbatimChar"/>
        </w:rPr>
        <w:t xml:space="preserve">        address(shapleyDistributor),</w:t>
      </w:r>
      <w:r>
        <w:br/>
      </w:r>
      <w:r>
        <w:rPr>
          <w:rStyle w:val="VerbatimChar"/>
        </w:rPr>
        <w:t xml:space="preserve">        address(liquidityGauge),</w:t>
      </w:r>
      <w:r>
        <w:br/>
      </w:r>
      <w:r>
        <w:rPr>
          <w:rStyle w:val="VerbatimChar"/>
        </w:rPr>
        <w:t xml:space="preserve">        address(singleStaking)</w:t>
      </w:r>
      <w:r>
        <w:br/>
      </w:r>
      <w:r>
        <w:rPr>
          <w:rStyle w:val="VerbatimChar"/>
        </w:rPr>
        <w:t xml:space="preserve">    ))</w:t>
      </w:r>
      <w:r>
        <w:br/>
      </w:r>
      <w:r>
        <w:rPr>
          <w:rStyle w:val="VerbatimChar"/>
        </w:rPr>
        <w:t xml:space="preserve">);</w:t>
      </w:r>
    </w:p>
    <w:bookmarkEnd w:id="29"/>
    <w:bookmarkStart w:id="30" w:name="permission-setup"/>
    <w:p>
      <w:pPr>
        <w:pStyle w:val="Heading3"/>
      </w:pPr>
      <w:r>
        <w:t xml:space="preserve">Permission Setup</w:t>
      </w:r>
    </w:p>
    <w:p>
      <w:pPr>
        <w:pStyle w:val="SourceCode"/>
      </w:pPr>
      <w:r>
        <w:rPr>
          <w:rStyle w:val="VerbatimChar"/>
        </w:rPr>
        <w:t xml:space="preserve">vibeToken.setMinter(address(emissionController), true);</w:t>
      </w:r>
      <w:r>
        <w:br/>
      </w:r>
      <w:r>
        <w:rPr>
          <w:rStyle w:val="VerbatimChar"/>
        </w:rPr>
        <w:t xml:space="preserve">shapleyDistributor.setAuthorizedCreator(address(emissionController), true);</w:t>
      </w:r>
      <w:r>
        <w:br/>
      </w:r>
      <w:r>
        <w:rPr>
          <w:rStyle w:val="VerbatimChar"/>
        </w:rPr>
        <w:t xml:space="preserve">singleStaking.transferOwnership(address(emissionController));</w:t>
      </w:r>
    </w:p>
    <w:bookmarkEnd w:id="30"/>
    <w:bookmarkStart w:id="31" w:name="operational"/>
    <w:p>
      <w:pPr>
        <w:pStyle w:val="Heading3"/>
      </w:pPr>
      <w:r>
        <w:t xml:space="preserve">Operational</w:t>
      </w:r>
    </w:p>
    <w:p>
      <w:pPr>
        <w:pStyle w:val="Compact"/>
        <w:numPr>
          <w:ilvl w:val="0"/>
          <w:numId w:val="1004"/>
        </w:numPr>
      </w:pPr>
      <w:r>
        <w:t xml:space="preserve">Call</w:t>
      </w:r>
      <w:r>
        <w:t xml:space="preserve"> </w:t>
      </w:r>
      <w:r>
        <w:rPr>
          <w:rStyle w:val="VerbatimChar"/>
        </w:rPr>
        <w:t xml:space="preserve">drip()</w:t>
      </w:r>
      <w:r>
        <w:t xml:space="preserve"> </w:t>
      </w:r>
      <w:r>
        <w:t xml:space="preserve">periodically (keepers, MEV bots, or users — anyone can call)</w:t>
      </w:r>
    </w:p>
    <w:p>
      <w:pPr>
        <w:pStyle w:val="Compact"/>
        <w:numPr>
          <w:ilvl w:val="0"/>
          <w:numId w:val="1004"/>
        </w:numPr>
      </w:pPr>
      <w:r>
        <w:t xml:space="preserve">Call</w:t>
      </w:r>
      <w:r>
        <w:t xml:space="preserve"> </w:t>
      </w:r>
      <w:r>
        <w:rPr>
          <w:rStyle w:val="VerbatimChar"/>
        </w:rPr>
        <w:t xml:space="preserve">fundStaking()</w:t>
      </w:r>
      <w:r>
        <w:t xml:space="preserve"> </w:t>
      </w:r>
      <w:r>
        <w:t xml:space="preserve">weekly (or as staking rewards are needed)</w:t>
      </w:r>
    </w:p>
    <w:p>
      <w:pPr>
        <w:pStyle w:val="Compact"/>
        <w:numPr>
          <w:ilvl w:val="0"/>
          <w:numId w:val="1004"/>
        </w:numPr>
      </w:pPr>
      <w:r>
        <w:t xml:space="preserve">Call</w:t>
      </w:r>
      <w:r>
        <w:t xml:space="preserve"> </w:t>
      </w:r>
      <w:r>
        <w:rPr>
          <w:rStyle w:val="VerbatimChar"/>
        </w:rPr>
        <w:t xml:space="preserve">createContributionGame()</w:t>
      </w:r>
      <w:r>
        <w:t xml:space="preserve"> </w:t>
      </w:r>
      <w:r>
        <w:t xml:space="preserve">when contribution rounds complete (authorized drainers only)</w:t>
      </w:r>
    </w:p>
    <w:p>
      <w:r>
        <w:pict>
          <v:rect style="width:0;height:1.5pt" o:hralign="center" o:hrstd="t" o:hr="t"/>
        </w:pict>
      </w:r>
    </w:p>
    <w:bookmarkEnd w:id="31"/>
    <w:bookmarkEnd w:id="32"/>
    <w:bookmarkStart w:id="33" w:name="security-considerations"/>
    <w:p>
      <w:pPr>
        <w:pStyle w:val="Heading2"/>
      </w:pPr>
      <w:r>
        <w:t xml:space="preserve">Security Considerations</w:t>
      </w:r>
    </w:p>
    <w:p>
      <w:pPr>
        <w:pStyle w:val="Compact"/>
        <w:numPr>
          <w:ilvl w:val="0"/>
          <w:numId w:val="1005"/>
        </w:numPr>
      </w:pPr>
      <w:r>
        <w:rPr>
          <w:b/>
          <w:bCs/>
        </w:rPr>
        <w:t xml:space="preserve">No external price dependency</w:t>
      </w:r>
      <w:r>
        <w:t xml:space="preserve"> </w:t>
      </w:r>
      <w:r>
        <w:t xml:space="preserve">— Emission rate is purely time-based. No oracle manipulation vector.</w:t>
      </w:r>
    </w:p>
    <w:p>
      <w:pPr>
        <w:pStyle w:val="Compact"/>
        <w:numPr>
          <w:ilvl w:val="0"/>
          <w:numId w:val="1005"/>
        </w:numPr>
      </w:pPr>
      <w:r>
        <w:rPr>
          <w:b/>
          <w:bCs/>
        </w:rPr>
        <w:t xml:space="preserve">Bounded gas</w:t>
      </w:r>
      <w:r>
        <w:t xml:space="preserve"> </w:t>
      </w:r>
      <w:r>
        <w:t xml:space="preserve">— Cross-era loop is O(32) maximum. Cannot be griefed with long time gaps.</w:t>
      </w:r>
    </w:p>
    <w:p>
      <w:pPr>
        <w:pStyle w:val="Compact"/>
        <w:numPr>
          <w:ilvl w:val="0"/>
          <w:numId w:val="1005"/>
        </w:numPr>
      </w:pPr>
      <w:r>
        <w:rPr>
          <w:b/>
          <w:bCs/>
        </w:rPr>
        <w:t xml:space="preserve">MAX_SUPPLY enforced</w:t>
      </w:r>
      <w:r>
        <w:t xml:space="preserve"> </w:t>
      </w:r>
      <w:r>
        <w:t xml:space="preserve">— Even if emission math produces more, VIBEToken’s mint function caps at MAX_SUPPLY.</w:t>
      </w:r>
    </w:p>
    <w:p>
      <w:pPr>
        <w:pStyle w:val="Compact"/>
        <w:numPr>
          <w:ilvl w:val="0"/>
          <w:numId w:val="1005"/>
        </w:numPr>
      </w:pPr>
      <w:r>
        <w:rPr>
          <w:b/>
          <w:bCs/>
        </w:rPr>
        <w:t xml:space="preserve">Reentrancy protection</w:t>
      </w:r>
      <w:r>
        <w:t xml:space="preserve"> </w:t>
      </w:r>
      <w:r>
        <w:t xml:space="preserve">— All state-changing functions use</w:t>
      </w:r>
      <w:r>
        <w:t xml:space="preserve"> </w:t>
      </w:r>
      <w:r>
        <w:rPr>
          <w:rStyle w:val="VerbatimChar"/>
        </w:rPr>
        <w:t xml:space="preserve">nonReentrant</w:t>
      </w:r>
      <w:r>
        <w:t xml:space="preserve">.</w:t>
      </w:r>
    </w:p>
    <w:p>
      <w:pPr>
        <w:pStyle w:val="Compact"/>
        <w:numPr>
          <w:ilvl w:val="0"/>
          <w:numId w:val="1005"/>
        </w:numPr>
      </w:pPr>
      <w:r>
        <w:rPr>
          <w:b/>
          <w:bCs/>
        </w:rPr>
        <w:t xml:space="preserve">UUPS upgradeable</w:t>
      </w:r>
      <w:r>
        <w:t xml:space="preserve"> </w:t>
      </w:r>
      <w:r>
        <w:t xml:space="preserve">— Can fix bugs without migrating state. Upgrade restricted to owner.</w:t>
      </w:r>
    </w:p>
    <w:p>
      <w:pPr>
        <w:pStyle w:val="Compact"/>
        <w:numPr>
          <w:ilvl w:val="0"/>
          <w:numId w:val="1005"/>
        </w:numPr>
      </w:pPr>
      <w:r>
        <w:rPr>
          <w:b/>
          <w:bCs/>
        </w:rPr>
        <w:t xml:space="preserve">Percentage-based drain minimum</w:t>
      </w:r>
      <w:r>
        <w:t xml:space="preserve"> </w:t>
      </w:r>
      <w:r>
        <w:t xml:space="preserve">— Cannot be bricked by VIBE price appreciation.</w:t>
      </w:r>
    </w:p>
    <w:p>
      <w:r>
        <w:pict>
          <v:rect style="width:0;height:1.5pt" o:hralign="center" o:hrstd="t" o:hr="t"/>
        </w:pict>
      </w:r>
    </w:p>
    <w:bookmarkEnd w:id="33"/>
    <w:bookmarkStart w:id="34" w:name="test-coverage"/>
    <w:p>
      <w:pPr>
        <w:pStyle w:val="Heading2"/>
      </w:pPr>
      <w:r>
        <w:t xml:space="preserve">Test Coverage</w:t>
      </w:r>
    </w:p>
    <w:tbl>
      <w:tblPr>
        <w:tblStyle w:val="Table"/>
        <w:tblW w:type="pct" w:w="5000"/>
        <w:tblLayout w:type="fixed"/>
        <w:tblLook w:firstRow="1" w:lastRow="0" w:firstColumn="0" w:lastColumn="0" w:noHBand="0" w:noVBand="0" w:val="0020"/>
      </w:tblPr>
      <w:tblGrid>
        <w:gridCol w:w="2053"/>
        <w:gridCol w:w="1760"/>
        <w:gridCol w:w="2053"/>
        <w:gridCol w:w="2053"/>
      </w:tblGrid>
      <w:tr>
        <w:trPr>
          <w:tblHeader w:val="on"/>
        </w:trPr>
        <w:tc>
          <w:tcPr/>
          <w:p>
            <w:pPr>
              <w:pStyle w:val="Compact"/>
            </w:pPr>
            <w:r>
              <w:t xml:space="preserve">Suite</w:t>
            </w:r>
          </w:p>
        </w:tc>
        <w:tc>
          <w:tcPr/>
          <w:p>
            <w:pPr>
              <w:pStyle w:val="Compact"/>
            </w:pPr>
            <w:r>
              <w:t xml:space="preserve">File</w:t>
            </w:r>
          </w:p>
        </w:tc>
        <w:tc>
          <w:tcPr/>
          <w:p>
            <w:pPr>
              <w:pStyle w:val="Compact"/>
            </w:pPr>
            <w:r>
              <w:t xml:space="preserve">Tests</w:t>
            </w:r>
          </w:p>
        </w:tc>
        <w:tc>
          <w:tcPr/>
          <w:p>
            <w:pPr>
              <w:pStyle w:val="Compact"/>
            </w:pPr>
            <w:r>
              <w:t xml:space="preserve">Notes</w:t>
            </w:r>
          </w:p>
        </w:tc>
      </w:tr>
      <w:tr>
        <w:tc>
          <w:tcPr/>
          <w:p>
            <w:pPr>
              <w:pStyle w:val="Compact"/>
            </w:pPr>
            <w:r>
              <w:t xml:space="preserve">Unit</w:t>
            </w:r>
          </w:p>
        </w:tc>
        <w:tc>
          <w:tcPr/>
          <w:p>
            <w:pPr>
              <w:pStyle w:val="Compact"/>
            </w:pPr>
            <w:r>
              <w:rPr>
                <w:rStyle w:val="VerbatimChar"/>
              </w:rPr>
              <w:t xml:space="preserve">test/EmissionController.t.sol</w:t>
            </w:r>
          </w:p>
        </w:tc>
        <w:tc>
          <w:tcPr/>
          <w:p>
            <w:pPr>
              <w:pStyle w:val="Compact"/>
            </w:pPr>
            <w:r>
              <w:t xml:space="preserve">38</w:t>
            </w:r>
          </w:p>
        </w:tc>
        <w:tc>
          <w:tcPr/>
          <w:p>
            <w:pPr>
              <w:pStyle w:val="Compact"/>
            </w:pPr>
            <w:r>
              <w:t xml:space="preserve">Full function coverage + edge cases</w:t>
            </w:r>
          </w:p>
        </w:tc>
      </w:tr>
      <w:tr>
        <w:tc>
          <w:tcPr/>
          <w:p>
            <w:pPr>
              <w:pStyle w:val="Compact"/>
            </w:pPr>
            <w:r>
              <w:t xml:space="preserve">Fuzz</w:t>
            </w:r>
          </w:p>
        </w:tc>
        <w:tc>
          <w:tcPr/>
          <w:p>
            <w:pPr>
              <w:pStyle w:val="Compact"/>
            </w:pPr>
            <w:r>
              <w:rPr>
                <w:rStyle w:val="VerbatimChar"/>
              </w:rPr>
              <w:t xml:space="preserve">test/fuzz/EmissionControllerFuzz.t.sol</w:t>
            </w:r>
          </w:p>
        </w:tc>
        <w:tc>
          <w:tcPr/>
          <w:p>
            <w:pPr>
              <w:pStyle w:val="Compact"/>
            </w:pPr>
            <w:r>
              <w:t xml:space="preserve">6 (256 runs)</w:t>
            </w:r>
          </w:p>
        </w:tc>
        <w:tc>
          <w:tcPr/>
          <w:p>
            <w:pPr>
              <w:pStyle w:val="Compact"/>
            </w:pPr>
            <w:r>
              <w:t xml:space="preserve">Time ranges, budget splits, drain bounds</w:t>
            </w:r>
          </w:p>
        </w:tc>
      </w:tr>
      <w:tr>
        <w:tc>
          <w:tcPr/>
          <w:p>
            <w:pPr>
              <w:pStyle w:val="Compact"/>
            </w:pPr>
            <w:r>
              <w:t xml:space="preserve">Invariant</w:t>
            </w:r>
          </w:p>
        </w:tc>
        <w:tc>
          <w:tcPr/>
          <w:p>
            <w:pPr>
              <w:pStyle w:val="Compact"/>
            </w:pPr>
            <w:r>
              <w:rPr>
                <w:rStyle w:val="VerbatimChar"/>
              </w:rPr>
              <w:t xml:space="preserve">test/invariant/EmissionControllerInvariant.t.sol</w:t>
            </w:r>
          </w:p>
        </w:tc>
        <w:tc>
          <w:tcPr/>
          <w:p>
            <w:pPr>
              <w:pStyle w:val="Compact"/>
            </w:pPr>
            <w:r>
              <w:t xml:space="preserve">7 (256 runs, 128K calls)</w:t>
            </w:r>
          </w:p>
        </w:tc>
        <w:tc>
          <w:tcPr/>
          <w:p>
            <w:pPr>
              <w:pStyle w:val="Compact"/>
            </w:pPr>
            <w:r>
              <w:t xml:space="preserve">Accounting, solvency, supply cap</w:t>
            </w:r>
          </w:p>
        </w:tc>
      </w:tr>
      <w:tr>
        <w:tc>
          <w:tcPr/>
          <w:p>
            <w:pPr>
              <w:pStyle w:val="Compact"/>
            </w:pPr>
            <w:r>
              <w:rPr>
                <w:b/>
                <w:bCs/>
              </w:rPr>
              <w:t xml:space="preserve">Total</w:t>
            </w:r>
          </w:p>
        </w:tc>
        <w:tc>
          <w:tcPr/>
          <w:p>
            <w:pPr>
              <w:pStyle w:val="Compact"/>
            </w:pPr>
          </w:p>
        </w:tc>
        <w:tc>
          <w:tcPr/>
          <w:p>
            <w:pPr>
              <w:pStyle w:val="Compact"/>
            </w:pPr>
            <w:r>
              <w:rPr>
                <w:b/>
                <w:bCs/>
              </w:rPr>
              <w:t xml:space="preserve">51</w:t>
            </w:r>
          </w:p>
        </w:tc>
        <w:tc>
          <w:tcPr/>
          <w:p>
            <w:pPr>
              <w:pStyle w:val="Compact"/>
            </w:pPr>
          </w:p>
        </w:tc>
      </w:tr>
    </w:tbl>
    <w:p>
      <w:r>
        <w:pict>
          <v:rect style="width:0;height:1.5pt" o:hralign="center" o:hrstd="t" o:hr="t"/>
        </w:pict>
      </w:r>
    </w:p>
    <w:p>
      <w:pPr>
        <w:pStyle w:val="FirstParagraph"/>
      </w:pPr>
      <w:r>
        <w:rPr>
          <w:i/>
          <w:iCs/>
        </w:rPr>
        <w:t xml:space="preserve">EmissionController: Where contribution meets compensation, on a schedule that respects the 21M covenant.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2026-03-16T12:18:23Z</dcterms:created>
  <dcterms:modified xsi:type="dcterms:W3CDTF">2026-03-16T12:18:23Z</dcterms:modified>
</cp:coreProperties>
</file>

<file path=docProps/custom.xml><?xml version="1.0" encoding="utf-8"?>
<Properties xmlns="http://schemas.openxmlformats.org/officeDocument/2006/custom-properties" xmlns:vt="http://schemas.openxmlformats.org/officeDocument/2006/docPropsVTypes"/>
</file>