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0f5c44d932a696f8854b2eb9ab970e69ff0486"/>
    <w:p>
      <w:pPr>
        <w:pStyle w:val="Heading1"/>
      </w:pPr>
      <w:r>
        <w:t xml:space="preserve">VibeSwap SEC Regulatory Compliance Analysis</w:t>
      </w:r>
    </w:p>
    <w:p>
      <w:pPr>
        <w:pStyle w:val="FirstParagraph"/>
      </w:pPr>
      <w:r>
        <w:rPr>
          <w:b/>
          <w:bCs/>
        </w:rPr>
        <w:t xml:space="preserve">Regulatory Backtesting for Exchange Execution and Settlement</w:t>
      </w:r>
    </w:p>
    <w:p>
      <w:pPr>
        <w:pStyle w:val="BodyText"/>
      </w:pPr>
      <w:r>
        <w:t xml:space="preserve">Version 1.0 | February 2026</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document analyzes VibeSwap’s protocol-level compliance with SEC regulations governing securities exchanges, alternative trading systems (ATSs), and settlement requirements. The analysis focuses on execution and settlement mechanics, with the understanding that frontend applications will handle additional compliance requirements (KYC/AML, investor accreditation, restricted securities filtering).</w:t>
      </w:r>
    </w:p>
    <w:p>
      <w:pPr>
        <w:pStyle w:val="BodyText"/>
      </w:pPr>
      <w:r>
        <w:rPr>
          <w:b/>
          <w:bCs/>
        </w:rPr>
        <w:t xml:space="preserve">Key Finding</w:t>
      </w:r>
      <w:r>
        <w:t xml:space="preserve">: VibeSwap’s architecture is</w:t>
      </w:r>
      <w:r>
        <w:t xml:space="preserve"> </w:t>
      </w:r>
      <w:r>
        <w:rPr>
          <w:b/>
          <w:bCs/>
        </w:rPr>
        <w:t xml:space="preserve">compatible with SEC regulatory frameworks</w:t>
      </w:r>
      <w:r>
        <w:t xml:space="preserve"> </w:t>
      </w:r>
      <w:r>
        <w:t xml:space="preserve">for ATSs and can operate as a compliant trading venue when properly registered and integrated with appropriate compliance layers.</w:t>
      </w:r>
    </w:p>
    <w:p>
      <w:r>
        <w:pict>
          <v:rect style="width:0;height:1.5pt" o:hralign="center" o:hrstd="t" o:hr="t"/>
        </w:pict>
      </w:r>
    </w:p>
    <w:bookmarkEnd w:id="9"/>
    <w:bookmarkStart w:id="13" w:name="regulatory-framework-overview"/>
    <w:p>
      <w:pPr>
        <w:pStyle w:val="Heading2"/>
      </w:pPr>
      <w:r>
        <w:t xml:space="preserve">1. Regulatory Framework Overview</w:t>
      </w:r>
    </w:p>
    <w:bookmarkStart w:id="10" w:name="applicable-regulations"/>
    <w:p>
      <w:pPr>
        <w:pStyle w:val="Heading3"/>
      </w:pPr>
      <w:r>
        <w:t xml:space="preserve">1.1 Applicable Regulations</w:t>
      </w:r>
    </w:p>
    <w:tbl>
      <w:tblPr>
        <w:tblStyle w:val="Table"/>
        <w:tblW w:type="pct" w:w="5000"/>
        <w:tblLayout w:type="fixed"/>
        <w:tblLook w:firstRow="1" w:lastRow="0" w:firstColumn="0" w:lastColumn="0" w:noHBand="0" w:noVBand="0" w:val="0020"/>
      </w:tblPr>
      <w:tblGrid>
        <w:gridCol w:w="2066"/>
        <w:gridCol w:w="2582"/>
        <w:gridCol w:w="3271"/>
      </w:tblGrid>
      <w:tr>
        <w:trPr>
          <w:tblHeader w:val="on"/>
        </w:trPr>
        <w:tc>
          <w:tcPr/>
          <w:p>
            <w:pPr>
              <w:pStyle w:val="Compact"/>
            </w:pPr>
            <w:r>
              <w:t xml:space="preserve">Regulation</w:t>
            </w:r>
          </w:p>
        </w:tc>
        <w:tc>
          <w:tcPr/>
          <w:p>
            <w:pPr>
              <w:pStyle w:val="Compact"/>
            </w:pPr>
            <w:r>
              <w:t xml:space="preserve">Applicability</w:t>
            </w:r>
          </w:p>
        </w:tc>
        <w:tc>
          <w:tcPr/>
          <w:p>
            <w:pPr>
              <w:pStyle w:val="Compact"/>
            </w:pPr>
            <w:r>
              <w:t xml:space="preserve">Compliance Status</w:t>
            </w:r>
          </w:p>
        </w:tc>
      </w:tr>
      <w:tr>
        <w:tc>
          <w:tcPr/>
          <w:p>
            <w:pPr>
              <w:pStyle w:val="Compact"/>
            </w:pPr>
            <w:r>
              <w:t xml:space="preserve">Regulation ATS (Rules 300-303)</w:t>
            </w:r>
          </w:p>
        </w:tc>
        <w:tc>
          <w:tcPr/>
          <w:p>
            <w:pPr>
              <w:pStyle w:val="Compact"/>
            </w:pPr>
            <w:r>
              <w:t xml:space="preserve">Alternative Trading Systems</w:t>
            </w:r>
          </w:p>
        </w:tc>
        <w:tc>
          <w:tcPr/>
          <w:p>
            <w:pPr>
              <w:pStyle w:val="Compact"/>
            </w:pPr>
            <w:r>
              <w:t xml:space="preserve">Compatible</w:t>
            </w:r>
          </w:p>
        </w:tc>
      </w:tr>
      <w:tr>
        <w:tc>
          <w:tcPr/>
          <w:p>
            <w:pPr>
              <w:pStyle w:val="Compact"/>
            </w:pPr>
            <w:r>
              <w:t xml:space="preserve">Regulation SHO</w:t>
            </w:r>
          </w:p>
        </w:tc>
        <w:tc>
          <w:tcPr/>
          <w:p>
            <w:pPr>
              <w:pStyle w:val="Compact"/>
            </w:pPr>
            <w:r>
              <w:t xml:space="preserve">Short sale rules</w:t>
            </w:r>
          </w:p>
        </w:tc>
        <w:tc>
          <w:tcPr/>
          <w:p>
            <w:pPr>
              <w:pStyle w:val="Compact"/>
            </w:pPr>
            <w:r>
              <w:t xml:space="preserve">N/A (spot trading)</w:t>
            </w:r>
          </w:p>
        </w:tc>
      </w:tr>
      <w:tr>
        <w:tc>
          <w:tcPr/>
          <w:p>
            <w:pPr>
              <w:pStyle w:val="Compact"/>
            </w:pPr>
            <w:r>
              <w:t xml:space="preserve">Regulation NMS</w:t>
            </w:r>
          </w:p>
        </w:tc>
        <w:tc>
          <w:tcPr/>
          <w:p>
            <w:pPr>
              <w:pStyle w:val="Compact"/>
            </w:pPr>
            <w:r>
              <w:t xml:space="preserve">National Market System</w:t>
            </w:r>
          </w:p>
        </w:tc>
        <w:tc>
          <w:tcPr/>
          <w:p>
            <w:pPr>
              <w:pStyle w:val="Compact"/>
            </w:pPr>
            <w:r>
              <w:t xml:space="preserve">Partial (uniform pricing)</w:t>
            </w:r>
          </w:p>
        </w:tc>
      </w:tr>
      <w:tr>
        <w:tc>
          <w:tcPr/>
          <w:p>
            <w:pPr>
              <w:pStyle w:val="Compact"/>
            </w:pPr>
            <w:r>
              <w:t xml:space="preserve">Rule 15c3-3</w:t>
            </w:r>
          </w:p>
        </w:tc>
        <w:tc>
          <w:tcPr/>
          <w:p>
            <w:pPr>
              <w:pStyle w:val="Compact"/>
            </w:pPr>
            <w:r>
              <w:t xml:space="preserve">Customer Protection</w:t>
            </w:r>
          </w:p>
        </w:tc>
        <w:tc>
          <w:tcPr/>
          <w:p>
            <w:pPr>
              <w:pStyle w:val="Compact"/>
            </w:pPr>
            <w:r>
              <w:t xml:space="preserve">Frontend responsibility</w:t>
            </w:r>
          </w:p>
        </w:tc>
      </w:tr>
      <w:tr>
        <w:tc>
          <w:tcPr/>
          <w:p>
            <w:pPr>
              <w:pStyle w:val="Compact"/>
            </w:pPr>
            <w:r>
              <w:t xml:space="preserve">SAB 121 (rescinded)</w:t>
            </w:r>
          </w:p>
        </w:tc>
        <w:tc>
          <w:tcPr/>
          <w:p>
            <w:pPr>
              <w:pStyle w:val="Compact"/>
            </w:pPr>
            <w:r>
              <w:t xml:space="preserve">Crypto custody accounting</w:t>
            </w:r>
          </w:p>
        </w:tc>
        <w:tc>
          <w:tcPr/>
          <w:p>
            <w:pPr>
              <w:pStyle w:val="Compact"/>
            </w:pPr>
            <w:r>
              <w:t xml:space="preserve">Resolved</w:t>
            </w:r>
          </w:p>
        </w:tc>
      </w:tr>
    </w:tbl>
    <w:bookmarkEnd w:id="10"/>
    <w:bookmarkStart w:id="12" w:name="recent-sec-guidance-december-2025"/>
    <w:p>
      <w:pPr>
        <w:pStyle w:val="Heading3"/>
      </w:pPr>
      <w:r>
        <w:t xml:space="preserve">1.2 Recent SEC Guidance (December 2025)</w:t>
      </w:r>
    </w:p>
    <w:p>
      <w:pPr>
        <w:pStyle w:val="FirstParagraph"/>
      </w:pPr>
      <w:r>
        <w:t xml:space="preserve">The SEC Division of Trading and Markets released updated FAQs addressing:</w:t>
      </w:r>
      <w:r>
        <w:t xml:space="preserve"> </w:t>
      </w:r>
      <w:r>
        <w:t xml:space="preserve">- Crypto asset pairs trading on ATSs</w:t>
      </w:r>
      <w:r>
        <w:t xml:space="preserve"> </w:t>
      </w:r>
      <w:r>
        <w:t xml:space="preserve">- Settlement procedures for crypto asset securities</w:t>
      </w:r>
      <w:r>
        <w:t xml:space="preserve"> </w:t>
      </w:r>
      <w:r>
        <w:t xml:space="preserve">- Broker-dealer custody requirements</w:t>
      </w:r>
    </w:p>
    <w:p>
      <w:pPr>
        <w:pStyle w:val="BodyText"/>
      </w:pPr>
      <w:r>
        <w:rPr>
          <w:b/>
          <w:bCs/>
        </w:rPr>
        <w:t xml:space="preserve">Source</w:t>
      </w:r>
      <w:r>
        <w:t xml:space="preserve">:</w:t>
      </w:r>
      <w:r>
        <w:t xml:space="preserve"> </w:t>
      </w:r>
      <w:hyperlink r:id="rId11">
        <w:r>
          <w:rPr>
            <w:rStyle w:val="Hyperlink"/>
          </w:rPr>
          <w:t xml:space="preserve">SEC Division of Trading and Markets FAQs</w:t>
        </w:r>
      </w:hyperlink>
    </w:p>
    <w:p>
      <w:r>
        <w:pict>
          <v:rect style="width:0;height:1.5pt" o:hralign="center" o:hrstd="t" o:hr="t"/>
        </w:pict>
      </w:r>
    </w:p>
    <w:bookmarkEnd w:id="12"/>
    <w:bookmarkEnd w:id="13"/>
    <w:bookmarkStart w:id="21" w:name="execution-level-compliance-analysis"/>
    <w:p>
      <w:pPr>
        <w:pStyle w:val="Heading2"/>
      </w:pPr>
      <w:r>
        <w:t xml:space="preserve">2. Execution-Level Compliance Analysis</w:t>
      </w:r>
    </w:p>
    <w:bookmarkStart w:id="16" w:name="order-handling-requirements"/>
    <w:p>
      <w:pPr>
        <w:pStyle w:val="Heading3"/>
      </w:pPr>
      <w:r>
        <w:t xml:space="preserve">2.1 Order Handling Requirements</w:t>
      </w:r>
    </w:p>
    <w:bookmarkStart w:id="14" w:name="Xa4d3e1311e4000cfb1c5e86c34bc580064283bf"/>
    <w:p>
      <w:pPr>
        <w:pStyle w:val="Heading4"/>
      </w:pPr>
      <w:r>
        <w:t xml:space="preserve">SEC Requirement: Fair and Orderly Execution</w:t>
      </w:r>
    </w:p>
    <w:p>
      <w:pPr>
        <w:pStyle w:val="FirstParagraph"/>
      </w:pPr>
      <w:r>
        <w:t xml:space="preserve">ATSs must provide fair access and orderly execution of trades.</w:t>
      </w:r>
    </w:p>
    <w:p>
      <w:pPr>
        <w:pStyle w:val="BodyText"/>
      </w:pPr>
      <w:r>
        <w:rPr>
          <w:b/>
          <w:bCs/>
        </w:rPr>
        <w:t xml:space="preserve">VibeSwap Compliance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Implementation</w:t>
            </w:r>
          </w:p>
        </w:tc>
        <w:tc>
          <w:tcPr/>
          <w:p>
            <w:pPr>
              <w:pStyle w:val="Compact"/>
            </w:pPr>
            <w:r>
              <w:t xml:space="preserve">Status</w:t>
            </w:r>
          </w:p>
        </w:tc>
      </w:tr>
      <w:tr>
        <w:tc>
          <w:tcPr/>
          <w:p>
            <w:pPr>
              <w:pStyle w:val="Compact"/>
            </w:pPr>
            <w:r>
              <w:t xml:space="preserve">Fair access</w:t>
            </w:r>
          </w:p>
        </w:tc>
        <w:tc>
          <w:tcPr/>
          <w:p>
            <w:pPr>
              <w:pStyle w:val="Compact"/>
            </w:pPr>
            <w:r>
              <w:t xml:space="preserve">Permissionless commit phase</w:t>
            </w:r>
          </w:p>
        </w:tc>
        <w:tc>
          <w:tcPr/>
          <w:p>
            <w:pPr>
              <w:pStyle w:val="Compact"/>
            </w:pPr>
            <w:r>
              <w:t xml:space="preserve">✅ Compliant</w:t>
            </w:r>
          </w:p>
        </w:tc>
      </w:tr>
      <w:tr>
        <w:tc>
          <w:tcPr/>
          <w:p>
            <w:pPr>
              <w:pStyle w:val="Compact"/>
            </w:pPr>
            <w:r>
              <w:t xml:space="preserve">Order priority</w:t>
            </w:r>
          </w:p>
        </w:tc>
        <w:tc>
          <w:tcPr/>
          <w:p>
            <w:pPr>
              <w:pStyle w:val="Compact"/>
            </w:pPr>
            <w:r>
              <w:t xml:space="preserve">Time-priority within batches</w:t>
            </w:r>
          </w:p>
        </w:tc>
        <w:tc>
          <w:tcPr/>
          <w:p>
            <w:pPr>
              <w:pStyle w:val="Compact"/>
            </w:pPr>
            <w:r>
              <w:t xml:space="preserve">✅ Compliant</w:t>
            </w:r>
          </w:p>
        </w:tc>
      </w:tr>
      <w:tr>
        <w:tc>
          <w:tcPr/>
          <w:p>
            <w:pPr>
              <w:pStyle w:val="Compact"/>
            </w:pPr>
            <w:r>
              <w:t xml:space="preserve">Price discovery</w:t>
            </w:r>
          </w:p>
        </w:tc>
        <w:tc>
          <w:tcPr/>
          <w:p>
            <w:pPr>
              <w:pStyle w:val="Compact"/>
            </w:pPr>
            <w:r>
              <w:t xml:space="preserve">Uniform clearing price</w:t>
            </w:r>
          </w:p>
        </w:tc>
        <w:tc>
          <w:tcPr/>
          <w:p>
            <w:pPr>
              <w:pStyle w:val="Compact"/>
            </w:pPr>
            <w:r>
              <w:t xml:space="preserve">✅ Compliant</w:t>
            </w:r>
          </w:p>
        </w:tc>
      </w:tr>
      <w:tr>
        <w:tc>
          <w:tcPr/>
          <w:p>
            <w:pPr>
              <w:pStyle w:val="Compact"/>
            </w:pPr>
            <w:r>
              <w:t xml:space="preserve">Execution certainty</w:t>
            </w:r>
          </w:p>
        </w:tc>
        <w:tc>
          <w:tcPr/>
          <w:p>
            <w:pPr>
              <w:pStyle w:val="Compact"/>
            </w:pPr>
            <w:r>
              <w:t xml:space="preserve">Deterministic settlement</w:t>
            </w:r>
          </w:p>
        </w:tc>
        <w:tc>
          <w:tcPr/>
          <w:p>
            <w:pPr>
              <w:pStyle w:val="Compact"/>
            </w:pPr>
            <w:r>
              <w:t xml:space="preserve">✅ Compliant</w:t>
            </w:r>
          </w:p>
        </w:tc>
      </w:tr>
    </w:tbl>
    <w:p>
      <w:pPr>
        <w:pStyle w:val="BodyText"/>
      </w:pPr>
      <w:r>
        <w:rPr>
          <w:b/>
          <w:bCs/>
        </w:rPr>
        <w:t xml:space="preserve">Analysis</w:t>
      </w:r>
      <w:r>
        <w:t xml:space="preserve">:</w:t>
      </w:r>
      <w:r>
        <w:t xml:space="preserve"> </w:t>
      </w:r>
      <w:r>
        <w:t xml:space="preserve">- All participants can submit orders during the commit phase</w:t>
      </w:r>
      <w:r>
        <w:t xml:space="preserve"> </w:t>
      </w:r>
      <w:r>
        <w:t xml:space="preserve">- No discriminatory access based on identity</w:t>
      </w:r>
      <w:r>
        <w:t xml:space="preserve"> </w:t>
      </w:r>
      <w:r>
        <w:t xml:space="preserve">- Priority auction is transparent and voluntary (disclosed in Form ATS)</w:t>
      </w:r>
      <w:r>
        <w:t xml:space="preserve"> </w:t>
      </w:r>
      <w:r>
        <w:t xml:space="preserve">- Uniform clearing price eliminates execution quality variance</w:t>
      </w:r>
    </w:p>
    <w:bookmarkEnd w:id="14"/>
    <w:bookmarkStart w:id="15" w:name="sec-requirement-best-execution"/>
    <w:p>
      <w:pPr>
        <w:pStyle w:val="Heading4"/>
      </w:pPr>
      <w:r>
        <w:t xml:space="preserve">SEC Requirement: Best Execution</w:t>
      </w:r>
    </w:p>
    <w:p>
      <w:pPr>
        <w:pStyle w:val="FirstParagraph"/>
      </w:pPr>
      <w:r>
        <w:t xml:space="preserve">Broker-dealers must seek best execution for customer orders.</w:t>
      </w:r>
    </w:p>
    <w:p>
      <w:pPr>
        <w:pStyle w:val="BodyText"/>
      </w:pPr>
      <w:r>
        <w:rPr>
          <w:b/>
          <w:bCs/>
        </w:rPr>
        <w:t xml:space="preserve">VibeSwap Compliance</w:t>
      </w:r>
      <w:r>
        <w:t xml:space="preserve">:</w:t>
      </w:r>
    </w:p>
    <w:p>
      <w:pPr>
        <w:pStyle w:val="BodyText"/>
      </w:pPr>
      <w:r>
        <w:t xml:space="preserve">The uniform clearing price mechanism ensures:</w:t>
      </w:r>
      <w:r>
        <w:t xml:space="preserve"> </w:t>
      </w:r>
      <w:r>
        <w:t xml:space="preserve">1.</w:t>
      </w:r>
      <w:r>
        <w:t xml:space="preserve"> </w:t>
      </w:r>
      <w:r>
        <w:rPr>
          <w:b/>
          <w:bCs/>
        </w:rPr>
        <w:t xml:space="preserve">Price equality</w:t>
      </w:r>
      <w:r>
        <w:t xml:space="preserve">: All orders in a batch execute at the same price</w:t>
      </w:r>
      <w:r>
        <w:t xml:space="preserve"> </w:t>
      </w:r>
      <w:r>
        <w:t xml:space="preserve">2.</w:t>
      </w:r>
      <w:r>
        <w:t xml:space="preserve"> </w:t>
      </w:r>
      <w:r>
        <w:rPr>
          <w:b/>
          <w:bCs/>
        </w:rPr>
        <w:t xml:space="preserve">No price discrimination</w:t>
      </w:r>
      <w:r>
        <w:t xml:space="preserve">: No user pays more than another for the same asset</w:t>
      </w:r>
      <w:r>
        <w:t xml:space="preserve"> </w:t>
      </w:r>
      <w:r>
        <w:t xml:space="preserve">3.</w:t>
      </w:r>
      <w:r>
        <w:t xml:space="preserve"> </w:t>
      </w:r>
      <w:r>
        <w:rPr>
          <w:b/>
          <w:bCs/>
        </w:rPr>
        <w:t xml:space="preserve">Transparent pricing</w:t>
      </w:r>
      <w:r>
        <w:t xml:space="preserve">: Clearing price is mathematically determined</w:t>
      </w:r>
      <w:r>
        <w:t xml:space="preserve"> </w:t>
      </w:r>
      <w:r>
        <w:t xml:space="preserve">4.</w:t>
      </w:r>
      <w:r>
        <w:t xml:space="preserve"> </w:t>
      </w:r>
      <w:r>
        <w:rPr>
          <w:b/>
          <w:bCs/>
        </w:rPr>
        <w:t xml:space="preserve">Documented methodology</w:t>
      </w:r>
      <w:r>
        <w:t xml:space="preserve">: Algorithm is public and verifiable</w:t>
      </w:r>
    </w:p>
    <w:p>
      <w:pPr>
        <w:pStyle w:val="SourceCode"/>
      </w:pPr>
      <w:r>
        <w:rPr>
          <w:rStyle w:val="VerbatimChar"/>
        </w:rPr>
        <w:t xml:space="preserve">Best Execution Score: OPTIMAL</w:t>
      </w:r>
      <w:r>
        <w:br/>
      </w:r>
      <w:r>
        <w:rPr>
          <w:rStyle w:val="VerbatimChar"/>
        </w:rPr>
        <w:t xml:space="preserve">- All participants receive market-clearing price</w:t>
      </w:r>
      <w:r>
        <w:br/>
      </w:r>
      <w:r>
        <w:rPr>
          <w:rStyle w:val="VerbatimChar"/>
        </w:rPr>
        <w:t xml:space="preserve">- No hidden fees or spreads beyond disclosed fee rate</w:t>
      </w:r>
      <w:r>
        <w:br/>
      </w:r>
      <w:r>
        <w:rPr>
          <w:rStyle w:val="VerbatimChar"/>
        </w:rPr>
        <w:t xml:space="preserve">- Price improvement impossible (all get same price)</w:t>
      </w:r>
    </w:p>
    <w:bookmarkEnd w:id="15"/>
    <w:bookmarkEnd w:id="16"/>
    <w:bookmarkStart w:id="18" w:name="Xe432c9c6518be5d9ecb29d1f6c0b03c0c83ea10"/>
    <w:p>
      <w:pPr>
        <w:pStyle w:val="Heading3"/>
      </w:pPr>
      <w:r>
        <w:t xml:space="preserve">2.2 Order Protection and Manipulation Prevention</w:t>
      </w:r>
    </w:p>
    <w:bookmarkStart w:id="17" w:name="Xcee27c653fef26d5939cfd6148c48d6f1018dba"/>
    <w:p>
      <w:pPr>
        <w:pStyle w:val="Heading4"/>
      </w:pPr>
      <w:r>
        <w:t xml:space="preserve">SEC Requirement: Manipulation Prevention (Exchange Act Section 9(a)(2))</w:t>
      </w:r>
    </w:p>
    <w:p>
      <w:pPr>
        <w:pStyle w:val="FirstParagraph"/>
      </w:pPr>
      <w:r>
        <w:t xml:space="preserve">Prohibited: wash trading, matched orders, market manipulation.</w:t>
      </w:r>
    </w:p>
    <w:p>
      <w:pPr>
        <w:pStyle w:val="BodyText"/>
      </w:pPr>
      <w:r>
        <w:rPr>
          <w:b/>
          <w:bCs/>
        </w:rPr>
        <w:t xml:space="preserve">VibeSwap Built-in Protections</w:t>
      </w:r>
      <w:r>
        <w:t xml:space="preserve">:</w:t>
      </w:r>
    </w:p>
    <w:tbl>
      <w:tblPr>
        <w:tblStyle w:val="Table"/>
        <w:tblW w:type="pct" w:w="5000"/>
        <w:tblLayout w:type="fixed"/>
        <w:tblLook w:firstRow="1" w:lastRow="0" w:firstColumn="0" w:lastColumn="0" w:noHBand="0" w:noVBand="0" w:val="0020"/>
      </w:tblPr>
      <w:tblGrid>
        <w:gridCol w:w="2501"/>
        <w:gridCol w:w="2292"/>
        <w:gridCol w:w="3126"/>
      </w:tblGrid>
      <w:tr>
        <w:trPr>
          <w:tblHeader w:val="on"/>
        </w:trPr>
        <w:tc>
          <w:tcPr/>
          <w:p>
            <w:pPr>
              <w:pStyle w:val="Compact"/>
            </w:pPr>
            <w:r>
              <w:t xml:space="preserve">Protection</w:t>
            </w:r>
          </w:p>
        </w:tc>
        <w:tc>
          <w:tcPr/>
          <w:p>
            <w:pPr>
              <w:pStyle w:val="Compact"/>
            </w:pPr>
            <w:r>
              <w:t xml:space="preserve">Mechanism</w:t>
            </w:r>
          </w:p>
        </w:tc>
        <w:tc>
          <w:tcPr/>
          <w:p>
            <w:pPr>
              <w:pStyle w:val="Compact"/>
            </w:pPr>
            <w:r>
              <w:t xml:space="preserve">Effectiveness</w:t>
            </w:r>
          </w:p>
        </w:tc>
      </w:tr>
      <w:tr>
        <w:tc>
          <w:tcPr/>
          <w:p>
            <w:pPr>
              <w:pStyle w:val="Compact"/>
            </w:pPr>
            <w:r>
              <w:t xml:space="preserve">Front-running</w:t>
            </w:r>
          </w:p>
        </w:tc>
        <w:tc>
          <w:tcPr/>
          <w:p>
            <w:pPr>
              <w:pStyle w:val="Compact"/>
            </w:pPr>
            <w:r>
              <w:t xml:space="preserve">Commit-reveal with hash hiding</w:t>
            </w:r>
          </w:p>
        </w:tc>
        <w:tc>
          <w:tcPr/>
          <w:p>
            <w:pPr>
              <w:pStyle w:val="Compact"/>
            </w:pPr>
            <w:r>
              <w:t xml:space="preserve">Cryptographically impossible</w:t>
            </w:r>
          </w:p>
        </w:tc>
      </w:tr>
      <w:tr>
        <w:tc>
          <w:tcPr/>
          <w:p>
            <w:pPr>
              <w:pStyle w:val="Compact"/>
            </w:pPr>
            <w:r>
              <w:t xml:space="preserve">Wash trading</w:t>
            </w:r>
          </w:p>
        </w:tc>
        <w:tc>
          <w:tcPr/>
          <w:p>
            <w:pPr>
              <w:pStyle w:val="Compact"/>
            </w:pPr>
            <w:r>
              <w:t xml:space="preserve">Uniform price eliminates profit motive</w:t>
            </w:r>
          </w:p>
        </w:tc>
        <w:tc>
          <w:tcPr/>
          <w:p>
            <w:pPr>
              <w:pStyle w:val="Compact"/>
            </w:pPr>
            <w:r>
              <w:t xml:space="preserve">Economically disincentivized</w:t>
            </w:r>
          </w:p>
        </w:tc>
      </w:tr>
      <w:tr>
        <w:tc>
          <w:tcPr/>
          <w:p>
            <w:pPr>
              <w:pStyle w:val="Compact"/>
            </w:pPr>
            <w:r>
              <w:t xml:space="preserve">Spoofing</w:t>
            </w:r>
          </w:p>
        </w:tc>
        <w:tc>
          <w:tcPr/>
          <w:p>
            <w:pPr>
              <w:pStyle w:val="Compact"/>
            </w:pPr>
            <w:r>
              <w:t xml:space="preserve">Slashing for non-reveals</w:t>
            </w:r>
          </w:p>
        </w:tc>
        <w:tc>
          <w:tcPr/>
          <w:p>
            <w:pPr>
              <w:pStyle w:val="Compact"/>
            </w:pPr>
            <w:r>
              <w:t xml:space="preserve">50% penalty</w:t>
            </w:r>
          </w:p>
        </w:tc>
      </w:tr>
      <w:tr>
        <w:tc>
          <w:tcPr/>
          <w:p>
            <w:pPr>
              <w:pStyle w:val="Compact"/>
            </w:pPr>
            <w:r>
              <w:t xml:space="preserve">Layering</w:t>
            </w:r>
          </w:p>
        </w:tc>
        <w:tc>
          <w:tcPr/>
          <w:p>
            <w:pPr>
              <w:pStyle w:val="Compact"/>
            </w:pPr>
            <w:r>
              <w:t xml:space="preserve">Single order per commit</w:t>
            </w:r>
          </w:p>
        </w:tc>
        <w:tc>
          <w:tcPr/>
          <w:p>
            <w:pPr>
              <w:pStyle w:val="Compact"/>
            </w:pPr>
            <w:r>
              <w:t xml:space="preserve">Structurally prevented</w:t>
            </w:r>
          </w:p>
        </w:tc>
      </w:tr>
    </w:tbl>
    <w:p>
      <w:pPr>
        <w:pStyle w:val="BodyText"/>
      </w:pPr>
      <w:r>
        <w:rPr>
          <w:b/>
          <w:bCs/>
        </w:rPr>
        <w:t xml:space="preserve">Proof of MEV Resistance</w:t>
      </w:r>
      <w:r>
        <w:t xml:space="preserve"> </w:t>
      </w:r>
      <w:r>
        <w:t xml:space="preserve">(from FORMAL_FAIRNESS_PROOFS.md):</w:t>
      </w:r>
    </w:p>
    <w:p>
      <w:pPr>
        <w:pStyle w:val="SourceCode"/>
      </w:pPr>
      <w:r>
        <w:rPr>
          <w:rStyle w:val="VerbatimChar"/>
        </w:rPr>
        <w:t xml:space="preserve">Theorem: In a commit-reveal batch auction with uniform clearing price,</w:t>
      </w:r>
      <w:r>
        <w:br/>
      </w:r>
      <w:r>
        <w:rPr>
          <w:rStyle w:val="VerbatimChar"/>
        </w:rPr>
        <w:t xml:space="preserve">frontrunning is impossible.</w:t>
      </w:r>
      <w:r>
        <w:br/>
      </w:r>
      <w:r>
        <w:br/>
      </w:r>
      <w:r>
        <w:rPr>
          <w:rStyle w:val="VerbatimChar"/>
        </w:rPr>
        <w:t xml:space="preserve">Proof: Frontrunning requires:</w:t>
      </w:r>
      <w:r>
        <w:br/>
      </w:r>
      <w:r>
        <w:rPr>
          <w:rStyle w:val="VerbatimChar"/>
        </w:rPr>
        <w:t xml:space="preserve">1. Observing pending orders (blocked by commit hash)</w:t>
      </w:r>
      <w:r>
        <w:br/>
      </w:r>
      <w:r>
        <w:rPr>
          <w:rStyle w:val="VerbatimChar"/>
        </w:rPr>
        <w:t xml:space="preserve">2. Inserting orders ahead (blocked by batch settlement)</w:t>
      </w:r>
      <w:r>
        <w:br/>
      </w:r>
      <w:r>
        <w:rPr>
          <w:rStyle w:val="VerbatimChar"/>
        </w:rPr>
        <w:t xml:space="preserve">3. Executing at different prices (blocked by uniform clearing)</w:t>
      </w:r>
    </w:p>
    <w:bookmarkEnd w:id="17"/>
    <w:bookmarkEnd w:id="18"/>
    <w:bookmarkStart w:id="20" w:name="transparency-requirements"/>
    <w:p>
      <w:pPr>
        <w:pStyle w:val="Heading3"/>
      </w:pPr>
      <w:r>
        <w:t xml:space="preserve">2.3 Transparency Requirements</w:t>
      </w:r>
    </w:p>
    <w:bookmarkStart w:id="19" w:name="sec-requirement-form-ats-disclosure"/>
    <w:p>
      <w:pPr>
        <w:pStyle w:val="Heading4"/>
      </w:pPr>
      <w:r>
        <w:t xml:space="preserve">SEC Requirement: Form ATS Disclosure</w:t>
      </w:r>
    </w:p>
    <w:p>
      <w:pPr>
        <w:pStyle w:val="FirstParagraph"/>
      </w:pPr>
      <w:r>
        <w:t xml:space="preserve">ATSs must disclose operational details on Form ATS.</w:t>
      </w:r>
    </w:p>
    <w:p>
      <w:pPr>
        <w:pStyle w:val="BodyText"/>
      </w:pPr>
      <w:r>
        <w:rPr>
          <w:b/>
          <w:bCs/>
        </w:rPr>
        <w:t xml:space="preserve">VibeSwap Disclosable Information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Disclosure Item</w:t>
            </w:r>
          </w:p>
        </w:tc>
        <w:tc>
          <w:tcPr/>
          <w:p>
            <w:pPr>
              <w:pStyle w:val="Compact"/>
            </w:pPr>
            <w:r>
              <w:t xml:space="preserve">VibeSwap Data</w:t>
            </w:r>
          </w:p>
        </w:tc>
      </w:tr>
      <w:tr>
        <w:tc>
          <w:tcPr/>
          <w:p>
            <w:pPr>
              <w:pStyle w:val="Compact"/>
            </w:pPr>
            <w:r>
              <w:t xml:space="preserve">Trading hours</w:t>
            </w:r>
          </w:p>
        </w:tc>
        <w:tc>
          <w:tcPr/>
          <w:p>
            <w:pPr>
              <w:pStyle w:val="Compact"/>
            </w:pPr>
            <w:r>
              <w:t xml:space="preserve">24/7/365 (blockchain-native)</w:t>
            </w:r>
          </w:p>
        </w:tc>
      </w:tr>
      <w:tr>
        <w:tc>
          <w:tcPr/>
          <w:p>
            <w:pPr>
              <w:pStyle w:val="Compact"/>
            </w:pPr>
            <w:r>
              <w:t xml:space="preserve">Order types</w:t>
            </w:r>
          </w:p>
        </w:tc>
        <w:tc>
          <w:tcPr/>
          <w:p>
            <w:pPr>
              <w:pStyle w:val="Compact"/>
            </w:pPr>
            <w:r>
              <w:t xml:space="preserve">Market orders with slippage protection</w:t>
            </w:r>
          </w:p>
        </w:tc>
      </w:tr>
      <w:tr>
        <w:tc>
          <w:tcPr/>
          <w:p>
            <w:pPr>
              <w:pStyle w:val="Compact"/>
            </w:pPr>
            <w:r>
              <w:t xml:space="preserve">Fee structure</w:t>
            </w:r>
          </w:p>
        </w:tc>
        <w:tc>
          <w:tcPr/>
          <w:p>
            <w:pPr>
              <w:pStyle w:val="Compact"/>
            </w:pPr>
            <w:r>
              <w:t xml:space="preserve">0.30% base fee, 100% to LPs</w:t>
            </w:r>
          </w:p>
        </w:tc>
      </w:tr>
      <w:tr>
        <w:tc>
          <w:tcPr/>
          <w:p>
            <w:pPr>
              <w:pStyle w:val="Compact"/>
            </w:pPr>
            <w:r>
              <w:t xml:space="preserve">Priority mechanism</w:t>
            </w:r>
          </w:p>
        </w:tc>
        <w:tc>
          <w:tcPr/>
          <w:p>
            <w:pPr>
              <w:pStyle w:val="Compact"/>
            </w:pPr>
            <w:r>
              <w:t xml:space="preserve">Optional priority auction (ETH or PoW)</w:t>
            </w:r>
          </w:p>
        </w:tc>
      </w:tr>
      <w:tr>
        <w:tc>
          <w:tcPr/>
          <w:p>
            <w:pPr>
              <w:pStyle w:val="Compact"/>
            </w:pPr>
            <w:r>
              <w:t xml:space="preserve">Settlement cycle</w:t>
            </w:r>
          </w:p>
        </w:tc>
        <w:tc>
          <w:tcPr/>
          <w:p>
            <w:pPr>
              <w:pStyle w:val="Compact"/>
            </w:pPr>
            <w:r>
              <w:t xml:space="preserve">T+0 (same batch, ~10 seconds)</w:t>
            </w:r>
          </w:p>
        </w:tc>
      </w:tr>
      <w:tr>
        <w:tc>
          <w:tcPr/>
          <w:p>
            <w:pPr>
              <w:pStyle w:val="Compact"/>
            </w:pPr>
            <w:r>
              <w:t xml:space="preserve">Matching methodology</w:t>
            </w:r>
          </w:p>
        </w:tc>
        <w:tc>
          <w:tcPr/>
          <w:p>
            <w:pPr>
              <w:pStyle w:val="Compact"/>
            </w:pPr>
            <w:r>
              <w:t xml:space="preserve">Uniform clearing price algorithm</w:t>
            </w:r>
          </w:p>
        </w:tc>
      </w:tr>
    </w:tbl>
    <w:p>
      <w:r>
        <w:pict>
          <v:rect style="width:0;height:1.5pt" o:hralign="center" o:hrstd="t" o:hr="t"/>
        </w:pict>
      </w:r>
    </w:p>
    <w:bookmarkEnd w:id="19"/>
    <w:bookmarkEnd w:id="20"/>
    <w:bookmarkEnd w:id="21"/>
    <w:bookmarkStart w:id="28" w:name="settlement-level-compliance-analysis"/>
    <w:p>
      <w:pPr>
        <w:pStyle w:val="Heading2"/>
      </w:pPr>
      <w:r>
        <w:t xml:space="preserve">3. Settlement-Level Compliance Analysis</w:t>
      </w:r>
    </w:p>
    <w:bookmarkStart w:id="23" w:name="settlement-cycle-requirements"/>
    <w:p>
      <w:pPr>
        <w:pStyle w:val="Heading3"/>
      </w:pPr>
      <w:r>
        <w:t xml:space="preserve">3.1 Settlement Cycle Requirements</w:t>
      </w:r>
    </w:p>
    <w:bookmarkStart w:id="22" w:name="sec-rule-15c6-1-t1-settlement"/>
    <w:p>
      <w:pPr>
        <w:pStyle w:val="Heading4"/>
      </w:pPr>
      <w:r>
        <w:t xml:space="preserve">SEC Rule 15c6-1: T+1 Settlement</w:t>
      </w:r>
    </w:p>
    <w:p>
      <w:pPr>
        <w:pStyle w:val="FirstParagraph"/>
      </w:pPr>
      <w:r>
        <w:t xml:space="preserve">Standard settlement cycle is T+1 (one business day).</w:t>
      </w:r>
    </w:p>
    <w:p>
      <w:pPr>
        <w:pStyle w:val="BodyText"/>
      </w:pPr>
      <w:r>
        <w:rPr>
          <w:b/>
          <w:bCs/>
        </w:rPr>
        <w:t xml:space="preserve">VibeSwap Settlement</w:t>
      </w:r>
      <w:r>
        <w:t xml:space="preserve">: T+0 (immediate atomic settlement)</w:t>
      </w:r>
    </w:p>
    <w:tbl>
      <w:tblPr>
        <w:tblStyle w:val="Table"/>
        <w:tblW w:type="pct" w:w="5000"/>
        <w:tblLayout w:type="fixed"/>
        <w:tblLook w:firstRow="1" w:lastRow="0" w:firstColumn="0" w:lastColumn="0" w:noHBand="0" w:noVBand="0" w:val="0020"/>
      </w:tblPr>
      <w:tblGrid>
        <w:gridCol w:w="1473"/>
        <w:gridCol w:w="1657"/>
        <w:gridCol w:w="2578"/>
        <w:gridCol w:w="2210"/>
      </w:tblGrid>
      <w:tr>
        <w:trPr>
          <w:tblHeader w:val="on"/>
        </w:trPr>
        <w:tc>
          <w:tcPr/>
          <w:p>
            <w:pPr>
              <w:pStyle w:val="Compact"/>
            </w:pPr>
            <w:r>
              <w:t xml:space="preserve">Aspect</w:t>
            </w:r>
          </w:p>
        </w:tc>
        <w:tc>
          <w:tcPr/>
          <w:p>
            <w:pPr>
              <w:pStyle w:val="Compact"/>
            </w:pPr>
            <w:r>
              <w:t xml:space="preserve">SEC T+1</w:t>
            </w:r>
          </w:p>
        </w:tc>
        <w:tc>
          <w:tcPr/>
          <w:p>
            <w:pPr>
              <w:pStyle w:val="Compact"/>
            </w:pPr>
            <w:r>
              <w:t xml:space="preserve">VibeSwap T+0</w:t>
            </w:r>
          </w:p>
        </w:tc>
        <w:tc>
          <w:tcPr/>
          <w:p>
            <w:pPr>
              <w:pStyle w:val="Compact"/>
            </w:pPr>
            <w:r>
              <w:t xml:space="preserve">Compliance</w:t>
            </w:r>
          </w:p>
        </w:tc>
      </w:tr>
      <w:tr>
        <w:tc>
          <w:tcPr/>
          <w:p>
            <w:pPr>
              <w:pStyle w:val="Compact"/>
            </w:pPr>
            <w:r>
              <w:t xml:space="preserve">Settlement time</w:t>
            </w:r>
          </w:p>
        </w:tc>
        <w:tc>
          <w:tcPr/>
          <w:p>
            <w:pPr>
              <w:pStyle w:val="Compact"/>
            </w:pPr>
            <w:r>
              <w:t xml:space="preserve">1 business day</w:t>
            </w:r>
          </w:p>
        </w:tc>
        <w:tc>
          <w:tcPr/>
          <w:p>
            <w:pPr>
              <w:pStyle w:val="Compact"/>
            </w:pPr>
            <w:r>
              <w:t xml:space="preserve">~10 seconds</w:t>
            </w:r>
          </w:p>
        </w:tc>
        <w:tc>
          <w:tcPr/>
          <w:p>
            <w:pPr>
              <w:pStyle w:val="Compact"/>
            </w:pPr>
            <w:r>
              <w:t xml:space="preserve">✅ Exceeds requirement</w:t>
            </w:r>
          </w:p>
        </w:tc>
      </w:tr>
      <w:tr>
        <w:tc>
          <w:tcPr/>
          <w:p>
            <w:pPr>
              <w:pStyle w:val="Compact"/>
            </w:pPr>
            <w:r>
              <w:t xml:space="preserve">Counterparty risk</w:t>
            </w:r>
          </w:p>
        </w:tc>
        <w:tc>
          <w:tcPr/>
          <w:p>
            <w:pPr>
              <w:pStyle w:val="Compact"/>
            </w:pPr>
            <w:r>
              <w:t xml:space="preserve">Present until settlement</w:t>
            </w:r>
          </w:p>
        </w:tc>
        <w:tc>
          <w:tcPr/>
          <w:p>
            <w:pPr>
              <w:pStyle w:val="Compact"/>
            </w:pPr>
            <w:r>
              <w:t xml:space="preserve">None (atomic)</w:t>
            </w:r>
          </w:p>
        </w:tc>
        <w:tc>
          <w:tcPr/>
          <w:p>
            <w:pPr>
              <w:pStyle w:val="Compact"/>
            </w:pPr>
            <w:r>
              <w:t xml:space="preserve">✅ Superior</w:t>
            </w:r>
          </w:p>
        </w:tc>
      </w:tr>
      <w:tr>
        <w:tc>
          <w:tcPr/>
          <w:p>
            <w:pPr>
              <w:pStyle w:val="Compact"/>
            </w:pPr>
            <w:r>
              <w:t xml:space="preserve">Fail rate</w:t>
            </w:r>
          </w:p>
        </w:tc>
        <w:tc>
          <w:tcPr/>
          <w:p>
            <w:pPr>
              <w:pStyle w:val="Compact"/>
            </w:pPr>
            <w:r>
              <w:t xml:space="preserve">Industry ~2%</w:t>
            </w:r>
          </w:p>
        </w:tc>
        <w:tc>
          <w:tcPr/>
          <w:p>
            <w:pPr>
              <w:pStyle w:val="Compact"/>
            </w:pPr>
            <w:r>
              <w:t xml:space="preserve">0% (guaranteed)</w:t>
            </w:r>
          </w:p>
        </w:tc>
        <w:tc>
          <w:tcPr/>
          <w:p>
            <w:pPr>
              <w:pStyle w:val="Compact"/>
            </w:pPr>
            <w:r>
              <w:t xml:space="preserve">✅ Superior</w:t>
            </w:r>
          </w:p>
        </w:tc>
      </w:tr>
      <w:tr>
        <w:tc>
          <w:tcPr/>
          <w:p>
            <w:pPr>
              <w:pStyle w:val="Compact"/>
            </w:pPr>
            <w:r>
              <w:t xml:space="preserve">Reconciliation</w:t>
            </w:r>
          </w:p>
        </w:tc>
        <w:tc>
          <w:tcPr/>
          <w:p>
            <w:pPr>
              <w:pStyle w:val="Compact"/>
            </w:pPr>
            <w:r>
              <w:t xml:space="preserve">Required</w:t>
            </w:r>
          </w:p>
        </w:tc>
        <w:tc>
          <w:tcPr/>
          <w:p>
            <w:pPr>
              <w:pStyle w:val="Compact"/>
            </w:pPr>
            <w:r>
              <w:t xml:space="preserve">Not needed</w:t>
            </w:r>
          </w:p>
        </w:tc>
        <w:tc>
          <w:tcPr/>
          <w:p>
            <w:pPr>
              <w:pStyle w:val="Compact"/>
            </w:pPr>
            <w:r>
              <w:t xml:space="preserve">✅ Simplified</w:t>
            </w:r>
          </w:p>
        </w:tc>
      </w:tr>
    </w:tbl>
    <w:p>
      <w:pPr>
        <w:pStyle w:val="BodyText"/>
      </w:pPr>
      <w:r>
        <w:rPr>
          <w:b/>
          <w:bCs/>
        </w:rPr>
        <w:t xml:space="preserve">Analysis</w:t>
      </w:r>
      <w:r>
        <w:t xml:space="preserve">: VibeSwap’s atomic settlement</w:t>
      </w:r>
      <w:r>
        <w:t xml:space="preserve"> </w:t>
      </w:r>
      <w:r>
        <w:rPr>
          <w:b/>
          <w:bCs/>
        </w:rPr>
        <w:t xml:space="preserve">exceeds</w:t>
      </w:r>
      <w:r>
        <w:t xml:space="preserve"> </w:t>
      </w:r>
      <w:r>
        <w:t xml:space="preserve">SEC requirements. The SEC has indicated support for T+0 settlement through tokenization, which VibeSwap inherently provides.</w:t>
      </w:r>
    </w:p>
    <w:bookmarkEnd w:id="22"/>
    <w:bookmarkEnd w:id="23"/>
    <w:bookmarkStart w:id="25" w:name="clearing-and-settlement-mechanics"/>
    <w:p>
      <w:pPr>
        <w:pStyle w:val="Heading3"/>
      </w:pPr>
      <w:r>
        <w:t xml:space="preserve">3.2 Clearing and Settlement Mechanics</w:t>
      </w:r>
    </w:p>
    <w:bookmarkStart w:id="24" w:name="Xfe65bd184d5d33ebde07923171291fd4d7116b1"/>
    <w:p>
      <w:pPr>
        <w:pStyle w:val="Heading4"/>
      </w:pPr>
      <w:r>
        <w:t xml:space="preserve">SEC Requirement: Clearing Agency Exemption</w:t>
      </w:r>
    </w:p>
    <w:p>
      <w:pPr>
        <w:pStyle w:val="FirstParagraph"/>
      </w:pPr>
      <w:r>
        <w:t xml:space="preserve">Broker-dealers operating ATSs are not required to register as clearing agencies when clearing/settling for their own customers as part of customary brokerage activity.</w:t>
      </w:r>
    </w:p>
    <w:p>
      <w:pPr>
        <w:pStyle w:val="BodyText"/>
      </w:pPr>
      <w:r>
        <w:rPr>
          <w:b/>
          <w:bCs/>
        </w:rPr>
        <w:t xml:space="preserve">VibeSwap Architecture</w:t>
      </w:r>
      <w:r>
        <w:t xml:space="preserve">:</w:t>
      </w:r>
    </w:p>
    <w:p>
      <w:pPr>
        <w:pStyle w:val="SourceCode"/>
      </w:pPr>
      <w:r>
        <w:rPr>
          <w:rStyle w:val="VerbatimChar"/>
        </w:rPr>
        <w:t xml:space="preserve">Settlement Flow:</w:t>
      </w:r>
      <w:r>
        <w:br/>
      </w:r>
      <w:r>
        <w:rPr>
          <w:rStyle w:val="VerbatimChar"/>
        </w:rPr>
        <w:t xml:space="preserve">1. User commits order → Deposit held in contract</w:t>
      </w:r>
      <w:r>
        <w:br/>
      </w:r>
      <w:r>
        <w:rPr>
          <w:rStyle w:val="VerbatimChar"/>
        </w:rPr>
        <w:t xml:space="preserve">2. User reveals order → Order validated</w:t>
      </w:r>
      <w:r>
        <w:br/>
      </w:r>
      <w:r>
        <w:rPr>
          <w:rStyle w:val="VerbatimChar"/>
        </w:rPr>
        <w:t xml:space="preserve">3. Batch settles → Atomic swap execution</w:t>
      </w:r>
      <w:r>
        <w:br/>
      </w:r>
      <w:r>
        <w:rPr>
          <w:rStyle w:val="VerbatimChar"/>
        </w:rPr>
        <w:t xml:space="preserve">4. Tokens delivered → Immediate finality</w:t>
      </w:r>
      <w:r>
        <w:br/>
      </w:r>
      <w:r>
        <w:br/>
      </w:r>
      <w:r>
        <w:rPr>
          <w:rStyle w:val="VerbatimChar"/>
        </w:rPr>
        <w:t xml:space="preserve">No separate clearing agency needed because:</w:t>
      </w:r>
      <w:r>
        <w:br/>
      </w:r>
      <w:r>
        <w:rPr>
          <w:rStyle w:val="VerbatimChar"/>
        </w:rPr>
        <w:t xml:space="preserve">- Settlement is atomic (no counterparty risk)</w:t>
      </w:r>
      <w:r>
        <w:br/>
      </w:r>
      <w:r>
        <w:rPr>
          <w:rStyle w:val="VerbatimChar"/>
        </w:rPr>
        <w:t xml:space="preserve">- No failed trades possible</w:t>
      </w:r>
      <w:r>
        <w:br/>
      </w:r>
      <w:r>
        <w:rPr>
          <w:rStyle w:val="VerbatimChar"/>
        </w:rPr>
        <w:t xml:space="preserve">- No netting required (gross settlement)</w:t>
      </w:r>
      <w:r>
        <w:br/>
      </w:r>
      <w:r>
        <w:rPr>
          <w:rStyle w:val="VerbatimChar"/>
        </w:rPr>
        <w:t xml:space="preserve">- Finality is immediate on blockchain</w:t>
      </w:r>
    </w:p>
    <w:bookmarkEnd w:id="24"/>
    <w:bookmarkEnd w:id="25"/>
    <w:bookmarkStart w:id="27" w:name="customer-asset-protection"/>
    <w:p>
      <w:pPr>
        <w:pStyle w:val="Heading3"/>
      </w:pPr>
      <w:r>
        <w:t xml:space="preserve">3.3 Customer Asset Protection</w:t>
      </w:r>
    </w:p>
    <w:bookmarkStart w:id="26" w:name="sec-rule-15c3-3-customer-protection-rule"/>
    <w:p>
      <w:pPr>
        <w:pStyle w:val="Heading4"/>
      </w:pPr>
      <w:r>
        <w:t xml:space="preserve">SEC Rule 15c3-3: Customer Protection Rule</w:t>
      </w:r>
    </w:p>
    <w:p>
      <w:pPr>
        <w:pStyle w:val="FirstParagraph"/>
      </w:pPr>
      <w:r>
        <w:t xml:space="preserve">Broker-dealers must maintain custody controls for customer assets.</w:t>
      </w:r>
    </w:p>
    <w:p>
      <w:pPr>
        <w:pStyle w:val="BodyText"/>
      </w:pPr>
      <w:r>
        <w:rPr>
          <w:b/>
          <w:bCs/>
        </w:rPr>
        <w:t xml:space="preserve">VibeSwap Design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Custody Aspect</w:t>
            </w:r>
          </w:p>
        </w:tc>
        <w:tc>
          <w:tcPr/>
          <w:p>
            <w:pPr>
              <w:pStyle w:val="Compact"/>
            </w:pPr>
            <w:r>
              <w:t xml:space="preserve">Implementation</w:t>
            </w:r>
          </w:p>
        </w:tc>
        <w:tc>
          <w:tcPr/>
          <w:p>
            <w:pPr>
              <w:pStyle w:val="Compact"/>
            </w:pPr>
            <w:r>
              <w:t xml:space="preserve">Compliance Path</w:t>
            </w:r>
          </w:p>
        </w:tc>
      </w:tr>
      <w:tr>
        <w:tc>
          <w:tcPr/>
          <w:p>
            <w:pPr>
              <w:pStyle w:val="Compact"/>
            </w:pPr>
            <w:r>
              <w:t xml:space="preserve">Asset segregation</w:t>
            </w:r>
          </w:p>
        </w:tc>
        <w:tc>
          <w:tcPr/>
          <w:p>
            <w:pPr>
              <w:pStyle w:val="Compact"/>
            </w:pPr>
            <w:r>
              <w:t xml:space="preserve">Smart contract escrow</w:t>
            </w:r>
          </w:p>
        </w:tc>
        <w:tc>
          <w:tcPr/>
          <w:p>
            <w:pPr>
              <w:pStyle w:val="Compact"/>
            </w:pPr>
            <w:r>
              <w:t xml:space="preserve">Programmatic enforcement</w:t>
            </w:r>
          </w:p>
        </w:tc>
      </w:tr>
      <w:tr>
        <w:tc>
          <w:tcPr/>
          <w:p>
            <w:pPr>
              <w:pStyle w:val="Compact"/>
            </w:pPr>
            <w:r>
              <w:t xml:space="preserve">Commingling prevention</w:t>
            </w:r>
          </w:p>
        </w:tc>
        <w:tc>
          <w:tcPr/>
          <w:p>
            <w:pPr>
              <w:pStyle w:val="Compact"/>
            </w:pPr>
            <w:r>
              <w:t xml:space="preserve">Per-user tracking</w:t>
            </w:r>
          </w:p>
        </w:tc>
        <w:tc>
          <w:tcPr/>
          <w:p>
            <w:pPr>
              <w:pStyle w:val="Compact"/>
            </w:pPr>
            <w:r>
              <w:t xml:space="preserve">On-chain transparency</w:t>
            </w:r>
          </w:p>
        </w:tc>
      </w:tr>
      <w:tr>
        <w:tc>
          <w:tcPr/>
          <w:p>
            <w:pPr>
              <w:pStyle w:val="Compact"/>
            </w:pPr>
            <w:r>
              <w:t xml:space="preserve">Asset location</w:t>
            </w:r>
          </w:p>
        </w:tc>
        <w:tc>
          <w:tcPr/>
          <w:p>
            <w:pPr>
              <w:pStyle w:val="Compact"/>
            </w:pPr>
            <w:r>
              <w:t xml:space="preserve">Blockchain addresses</w:t>
            </w:r>
          </w:p>
        </w:tc>
        <w:tc>
          <w:tcPr/>
          <w:p>
            <w:pPr>
              <w:pStyle w:val="Compact"/>
            </w:pPr>
            <w:r>
              <w:t xml:space="preserve">Cryptographically verifiable</w:t>
            </w:r>
          </w:p>
        </w:tc>
      </w:tr>
      <w:tr>
        <w:tc>
          <w:tcPr/>
          <w:p>
            <w:pPr>
              <w:pStyle w:val="Compact"/>
            </w:pPr>
            <w:r>
              <w:t xml:space="preserve">Withdrawal rights</w:t>
            </w:r>
          </w:p>
        </w:tc>
        <w:tc>
          <w:tcPr/>
          <w:p>
            <w:pPr>
              <w:pStyle w:val="Compact"/>
            </w:pPr>
            <w:r>
              <w:t xml:space="preserve">User-initiated</w:t>
            </w:r>
          </w:p>
        </w:tc>
        <w:tc>
          <w:tcPr/>
          <w:p>
            <w:pPr>
              <w:pStyle w:val="Compact"/>
            </w:pPr>
            <w:r>
              <w:t xml:space="preserve">Permissionless</w:t>
            </w:r>
          </w:p>
        </w:tc>
      </w:tr>
    </w:tbl>
    <w:p>
      <w:pPr>
        <w:pStyle w:val="BodyText"/>
      </w:pPr>
      <w:r>
        <w:rPr>
          <w:b/>
          <w:bCs/>
        </w:rPr>
        <w:t xml:space="preserve">Note</w:t>
      </w:r>
      <w:r>
        <w:t xml:space="preserve">: The protocol-level design supports compliance. Frontend operators must implement additional broker-dealer requirements.</w:t>
      </w:r>
    </w:p>
    <w:p>
      <w:r>
        <w:pict>
          <v:rect style="width:0;height:1.5pt" o:hralign="center" o:hrstd="t" o:hr="t"/>
        </w:pict>
      </w:r>
    </w:p>
    <w:bookmarkEnd w:id="26"/>
    <w:bookmarkEnd w:id="27"/>
    <w:bookmarkEnd w:id="28"/>
    <w:bookmarkStart w:id="32" w:name="specific-compliance-considerations"/>
    <w:p>
      <w:pPr>
        <w:pStyle w:val="Heading2"/>
      </w:pPr>
      <w:r>
        <w:t xml:space="preserve">4. Specific Compliance Considerations</w:t>
      </w:r>
    </w:p>
    <w:bookmarkStart w:id="29" w:name="pairs-trading-cryptosecurities"/>
    <w:p>
      <w:pPr>
        <w:pStyle w:val="Heading3"/>
      </w:pPr>
      <w:r>
        <w:t xml:space="preserve">4.1 Pairs Trading (Crypto/Securities)</w:t>
      </w:r>
    </w:p>
    <w:p>
      <w:pPr>
        <w:pStyle w:val="FirstParagraph"/>
      </w:pPr>
      <w:r>
        <w:t xml:space="preserve">Per December 2025 SEC guidance:</w:t>
      </w:r>
      <w:r>
        <w:t xml:space="preserve"> </w:t>
      </w:r>
      <w:r>
        <w:t xml:space="preserve">&gt;</w:t>
      </w:r>
      <w:r>
        <w:t xml:space="preserve"> </w:t>
      </w:r>
      <w:r>
        <w:t xml:space="preserve">“Federal securities laws do not prohibit an NSE or ATS from offering pairs trading involving a security, including crypto asset securities, and a crypto asset that is not a security.”</w:t>
      </w:r>
    </w:p>
    <w:p>
      <w:pPr>
        <w:pStyle w:val="BodyText"/>
      </w:pPr>
      <w:r>
        <w:rPr>
          <w:b/>
          <w:bCs/>
        </w:rPr>
        <w:t xml:space="preserve">VibeSwap Compatibility</w:t>
      </w:r>
      <w:r>
        <w:t xml:space="preserve">: ✅</w:t>
      </w:r>
      <w:r>
        <w:t xml:space="preserve"> </w:t>
      </w:r>
      <w:r>
        <w:t xml:space="preserve">- Pool creation is permissionless</w:t>
      </w:r>
      <w:r>
        <w:t xml:space="preserve"> </w:t>
      </w:r>
      <w:r>
        <w:t xml:space="preserve">- Frontend can restrict to compliant pairs</w:t>
      </w:r>
      <w:r>
        <w:t xml:space="preserve"> </w:t>
      </w:r>
      <w:r>
        <w:t xml:space="preserve">- Each pool can be individually assessed</w:t>
      </w:r>
    </w:p>
    <w:bookmarkEnd w:id="29"/>
    <w:bookmarkStart w:id="30" w:name="order-audit-trail-rule-17a-25"/>
    <w:p>
      <w:pPr>
        <w:pStyle w:val="Heading3"/>
      </w:pPr>
      <w:r>
        <w:t xml:space="preserve">4.2 Order Audit Trail (Rule 17a-25)</w:t>
      </w:r>
    </w:p>
    <w:p>
      <w:pPr>
        <w:pStyle w:val="FirstParagraph"/>
      </w:pPr>
      <w:r>
        <w:rPr>
          <w:b/>
          <w:bCs/>
        </w:rPr>
        <w:t xml:space="preserve">Requirement</w:t>
      </w:r>
      <w:r>
        <w:t xml:space="preserve">: Electronic records of orders.</w:t>
      </w:r>
    </w:p>
    <w:p>
      <w:pPr>
        <w:pStyle w:val="BodyText"/>
      </w:pPr>
      <w:r>
        <w:rPr>
          <w:b/>
          <w:bCs/>
        </w:rPr>
        <w:t xml:space="preserve">VibeSwap Compliance</w:t>
      </w:r>
      <w:r>
        <w:t xml:space="preserve">:</w:t>
      </w:r>
      <w:r>
        <w:t xml:space="preserve"> </w:t>
      </w:r>
      <w:r>
        <w:t xml:space="preserve">- All orders recorded on-chain (immutable)</w:t>
      </w:r>
      <w:r>
        <w:t xml:space="preserve"> </w:t>
      </w:r>
      <w:r>
        <w:t xml:space="preserve">- Commit hashes preserve order timing</w:t>
      </w:r>
      <w:r>
        <w:t xml:space="preserve"> </w:t>
      </w:r>
      <w:r>
        <w:t xml:space="preserve">- Reveal data captures full order details</w:t>
      </w:r>
      <w:r>
        <w:t xml:space="preserve"> </w:t>
      </w:r>
      <w:r>
        <w:t xml:space="preserve">- Settlement recorded with execution price</w:t>
      </w:r>
    </w:p>
    <w:p>
      <w:pPr>
        <w:pStyle w:val="SourceCode"/>
      </w:pPr>
      <w:r>
        <w:rPr>
          <w:rStyle w:val="VerbatimChar"/>
        </w:rPr>
        <w:t xml:space="preserve">// On-chain audit trail events</w:t>
      </w:r>
      <w:r>
        <w:br/>
      </w:r>
      <w:r>
        <w:rPr>
          <w:rStyle w:val="VerbatimChar"/>
        </w:rPr>
        <w:t xml:space="preserve">event OrderCommitted(commitId, trader, batchId, deposit);</w:t>
      </w:r>
      <w:r>
        <w:br/>
      </w:r>
      <w:r>
        <w:rPr>
          <w:rStyle w:val="VerbatimChar"/>
        </w:rPr>
        <w:t xml:space="preserve">event OrderRevealed(commitId, trader, batchId, tokenIn, tokenOut, amountIn, priority);</w:t>
      </w:r>
      <w:r>
        <w:br/>
      </w:r>
      <w:r>
        <w:rPr>
          <w:rStyle w:val="VerbatimChar"/>
        </w:rPr>
        <w:t xml:space="preserve">event BatchSettled(batchId, orderCount, totalPriority, shuffleSeed);</w:t>
      </w:r>
      <w:r>
        <w:br/>
      </w:r>
      <w:r>
        <w:rPr>
          <w:rStyle w:val="VerbatimChar"/>
        </w:rPr>
        <w:t xml:space="preserve">event SwapExecuted(poolId, trader, tokenIn, tokenOut, amountIn, amountOut);</w:t>
      </w:r>
    </w:p>
    <w:bookmarkEnd w:id="30"/>
    <w:bookmarkStart w:id="31" w:name="market-access-controls-rule-15c3-5"/>
    <w:p>
      <w:pPr>
        <w:pStyle w:val="Heading3"/>
      </w:pPr>
      <w:r>
        <w:t xml:space="preserve">4.3 Market Access Controls (Rule 15c3-5)</w:t>
      </w:r>
    </w:p>
    <w:p>
      <w:pPr>
        <w:pStyle w:val="FirstParagraph"/>
      </w:pPr>
      <w:r>
        <w:rPr>
          <w:b/>
          <w:bCs/>
        </w:rPr>
        <w:t xml:space="preserve">Requirement</w:t>
      </w:r>
      <w:r>
        <w:t xml:space="preserve">: Risk controls for market access.</w:t>
      </w:r>
    </w:p>
    <w:p>
      <w:pPr>
        <w:pStyle w:val="BodyText"/>
      </w:pPr>
      <w:r>
        <w:rPr>
          <w:b/>
          <w:bCs/>
        </w:rPr>
        <w:t xml:space="preserve">VibeSwap Built-in Controls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t xml:space="preserve">Pre-trade risk limits</w:t>
            </w:r>
          </w:p>
        </w:tc>
        <w:tc>
          <w:tcPr/>
          <w:p>
            <w:pPr>
              <w:pStyle w:val="Compact"/>
            </w:pPr>
            <w:r>
              <w:t xml:space="preserve">Minimum deposit requirement</w:t>
            </w:r>
          </w:p>
        </w:tc>
      </w:tr>
      <w:tr>
        <w:tc>
          <w:tcPr/>
          <w:p>
            <w:pPr>
              <w:pStyle w:val="Compact"/>
            </w:pPr>
            <w:r>
              <w:t xml:space="preserve">Order size limits</w:t>
            </w:r>
          </w:p>
        </w:tc>
        <w:tc>
          <w:tcPr/>
          <w:p>
            <w:pPr>
              <w:pStyle w:val="Compact"/>
            </w:pPr>
            <w:r>
              <w:t xml:space="preserve">MAX_TRADE_SIZE_BPS (10% of reserves)</w:t>
            </w:r>
          </w:p>
        </w:tc>
      </w:tr>
      <w:tr>
        <w:tc>
          <w:tcPr/>
          <w:p>
            <w:pPr>
              <w:pStyle w:val="Compact"/>
            </w:pPr>
            <w:r>
              <w:t xml:space="preserve">Price collar</w:t>
            </w:r>
          </w:p>
        </w:tc>
        <w:tc>
          <w:tcPr/>
          <w:p>
            <w:pPr>
              <w:pStyle w:val="Compact"/>
            </w:pPr>
            <w:r>
              <w:t xml:space="preserve">minAmountOut slippage protection</w:t>
            </w:r>
          </w:p>
        </w:tc>
      </w:tr>
      <w:tr>
        <w:tc>
          <w:tcPr/>
          <w:p>
            <w:pPr>
              <w:pStyle w:val="Compact"/>
            </w:pPr>
            <w:r>
              <w:t xml:space="preserve">Kill switch</w:t>
            </w:r>
          </w:p>
        </w:tc>
        <w:tc>
          <w:tcPr/>
          <w:p>
            <w:pPr>
              <w:pStyle w:val="Compact"/>
            </w:pPr>
            <w:r>
              <w:t xml:space="preserve">Circuit breakers (volume, price, withdrawal)</w:t>
            </w:r>
          </w:p>
        </w:tc>
      </w:tr>
      <w:tr>
        <w:tc>
          <w:tcPr/>
          <w:p>
            <w:pPr>
              <w:pStyle w:val="Compact"/>
            </w:pPr>
            <w:r>
              <w:t xml:space="preserve">Credit controls</w:t>
            </w:r>
          </w:p>
        </w:tc>
        <w:tc>
          <w:tcPr/>
          <w:p>
            <w:pPr>
              <w:pStyle w:val="Compact"/>
            </w:pPr>
            <w:r>
              <w:t xml:space="preserve">Full collateralization required</w:t>
            </w:r>
          </w:p>
        </w:tc>
      </w:tr>
    </w:tbl>
    <w:p>
      <w:r>
        <w:pict>
          <v:rect style="width:0;height:1.5pt" o:hralign="center" o:hrstd="t" o:hr="t"/>
        </w:pict>
      </w:r>
    </w:p>
    <w:bookmarkEnd w:id="31"/>
    <w:bookmarkEnd w:id="32"/>
    <w:bookmarkStart w:id="35" w:name="X4a8990eba89ab88c0f504666f84c50b542420a0"/>
    <w:p>
      <w:pPr>
        <w:pStyle w:val="Heading2"/>
      </w:pPr>
      <w:r>
        <w:t xml:space="preserve">5. Regulatory Advantages of VibeSwap Architecture</w:t>
      </w:r>
    </w:p>
    <w:bookmarkStart w:id="33" w:name="structural-compliance-benefits"/>
    <w:p>
      <w:pPr>
        <w:pStyle w:val="Heading3"/>
      </w:pPr>
      <w:r>
        <w:t xml:space="preserve">5.1 Structural Compliance Benefits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Exchange Risk</w:t>
            </w:r>
          </w:p>
        </w:tc>
        <w:tc>
          <w:tcPr/>
          <w:p>
            <w:pPr>
              <w:pStyle w:val="Compact"/>
            </w:pPr>
            <w:r>
              <w:t xml:space="preserve">VibeSwap Solution</w:t>
            </w:r>
          </w:p>
        </w:tc>
      </w:tr>
      <w:tr>
        <w:tc>
          <w:tcPr/>
          <w:p>
            <w:pPr>
              <w:pStyle w:val="Compact"/>
            </w:pPr>
            <w:r>
              <w:t xml:space="preserve">Trade failures</w:t>
            </w:r>
          </w:p>
        </w:tc>
        <w:tc>
          <w:tcPr/>
          <w:p>
            <w:pPr>
              <w:pStyle w:val="Compact"/>
            </w:pPr>
            <w:r>
              <w:t xml:space="preserve">Impossible (atomic settlement)</w:t>
            </w:r>
          </w:p>
        </w:tc>
      </w:tr>
      <w:tr>
        <w:tc>
          <w:tcPr/>
          <w:p>
            <w:pPr>
              <w:pStyle w:val="Compact"/>
            </w:pPr>
            <w:r>
              <w:t xml:space="preserve">Counterparty default</w:t>
            </w:r>
          </w:p>
        </w:tc>
        <w:tc>
          <w:tcPr/>
          <w:p>
            <w:pPr>
              <w:pStyle w:val="Compact"/>
            </w:pPr>
            <w:r>
              <w:t xml:space="preserve">Eliminated (pre-funded)</w:t>
            </w:r>
          </w:p>
        </w:tc>
      </w:tr>
      <w:tr>
        <w:tc>
          <w:tcPr/>
          <w:p>
            <w:pPr>
              <w:pStyle w:val="Compact"/>
            </w:pPr>
            <w:r>
              <w:t xml:space="preserve">Price manipulation</w:t>
            </w:r>
          </w:p>
        </w:tc>
        <w:tc>
          <w:tcPr/>
          <w:p>
            <w:pPr>
              <w:pStyle w:val="Compact"/>
            </w:pPr>
            <w:r>
              <w:t xml:space="preserve">Cryptographically prevented</w:t>
            </w:r>
          </w:p>
        </w:tc>
      </w:tr>
      <w:tr>
        <w:tc>
          <w:tcPr/>
          <w:p>
            <w:pPr>
              <w:pStyle w:val="Compact"/>
            </w:pPr>
            <w:r>
              <w:t xml:space="preserve">Front-running</w:t>
            </w:r>
          </w:p>
        </w:tc>
        <w:tc>
          <w:tcPr/>
          <w:p>
            <w:pPr>
              <w:pStyle w:val="Compact"/>
            </w:pPr>
            <w:r>
              <w:t xml:space="preserve">Mathematically impossible</w:t>
            </w:r>
          </w:p>
        </w:tc>
      </w:tr>
      <w:tr>
        <w:tc>
          <w:tcPr/>
          <w:p>
            <w:pPr>
              <w:pStyle w:val="Compact"/>
            </w:pPr>
            <w:r>
              <w:t xml:space="preserve">Audit trail gaps</w:t>
            </w:r>
          </w:p>
        </w:tc>
        <w:tc>
          <w:tcPr/>
          <w:p>
            <w:pPr>
              <w:pStyle w:val="Compact"/>
            </w:pPr>
            <w:r>
              <w:t xml:space="preserve">Complete on-chain record</w:t>
            </w:r>
          </w:p>
        </w:tc>
      </w:tr>
      <w:tr>
        <w:tc>
          <w:tcPr/>
          <w:p>
            <w:pPr>
              <w:pStyle w:val="Compact"/>
            </w:pPr>
            <w:r>
              <w:t xml:space="preserve">Settlement delays</w:t>
            </w:r>
          </w:p>
        </w:tc>
        <w:tc>
          <w:tcPr/>
          <w:p>
            <w:pPr>
              <w:pStyle w:val="Compact"/>
            </w:pPr>
            <w:r>
              <w:t xml:space="preserve">Immediate finality</w:t>
            </w:r>
          </w:p>
        </w:tc>
      </w:tr>
    </w:tbl>
    <w:bookmarkEnd w:id="33"/>
    <w:bookmarkStart w:id="34" w:name="X061880c5682c5d443b636c0e9962aea8862e030"/>
    <w:p>
      <w:pPr>
        <w:pStyle w:val="Heading3"/>
      </w:pPr>
      <w:r>
        <w:t xml:space="preserve">5.2 Commissioner Peirce’s Innovation Framework</w:t>
      </w:r>
    </w:p>
    <w:p>
      <w:pPr>
        <w:pStyle w:val="FirstParagraph"/>
      </w:pPr>
      <w:r>
        <w:t xml:space="preserve">Commissioner Peirce has advocated for:</w:t>
      </w:r>
      <w:r>
        <w:t xml:space="preserve"> </w:t>
      </w:r>
      <w:r>
        <w:t xml:space="preserve">1. Lower costs for crypto ATSs</w:t>
      </w:r>
      <w:r>
        <w:t xml:space="preserve"> </w:t>
      </w:r>
      <w:r>
        <w:t xml:space="preserve">2. Tailored Form ATS for crypto</w:t>
      </w:r>
      <w:r>
        <w:t xml:space="preserve"> </w:t>
      </w:r>
      <w:r>
        <w:t xml:space="preserve">3. Innovation exemptions</w:t>
      </w:r>
    </w:p>
    <w:p>
      <w:pPr>
        <w:pStyle w:val="BodyText"/>
      </w:pPr>
      <w:r>
        <w:rPr>
          <w:b/>
          <w:bCs/>
        </w:rPr>
        <w:t xml:space="preserve">VibeSwap Alignment</w:t>
      </w:r>
      <w:r>
        <w:t xml:space="preserve">:</w:t>
      </w:r>
      <w:r>
        <w:t xml:space="preserve"> </w:t>
      </w:r>
      <w:r>
        <w:t xml:space="preserve">- Open-source, low-cost infrastructure</w:t>
      </w:r>
      <w:r>
        <w:t xml:space="preserve"> </w:t>
      </w:r>
      <w:r>
        <w:t xml:space="preserve">- Transparent, auditable operations</w:t>
      </w:r>
      <w:r>
        <w:t xml:space="preserve"> </w:t>
      </w:r>
      <w:r>
        <w:t xml:space="preserve">- Novel MEV-prevention technology</w:t>
      </w:r>
      <w:r>
        <w:t xml:space="preserve"> </w:t>
      </w:r>
      <w:r>
        <w:t xml:space="preserve">- Supports SEC policy objectives</w:t>
      </w:r>
    </w:p>
    <w:p>
      <w:r>
        <w:pict>
          <v:rect style="width:0;height:1.5pt" o:hralign="center" o:hrstd="t" o:hr="t"/>
        </w:pict>
      </w:r>
    </w:p>
    <w:bookmarkEnd w:id="34"/>
    <w:bookmarkEnd w:id="35"/>
    <w:bookmarkStart w:id="38" w:name="Xf07e6d0fa1de90c0cb7e918f6bc281315c0577f"/>
    <w:p>
      <w:pPr>
        <w:pStyle w:val="Heading2"/>
      </w:pPr>
      <w:r>
        <w:t xml:space="preserve">6. Compliance Gaps and Frontend Requirements</w:t>
      </w:r>
    </w:p>
    <w:bookmarkStart w:id="36" w:name="protocol-level-already-compliant"/>
    <w:p>
      <w:pPr>
        <w:pStyle w:val="Heading3"/>
      </w:pPr>
      <w:r>
        <w:t xml:space="preserve">6.1 Protocol-Level (Already Compliant)</w:t>
      </w:r>
    </w:p>
    <w:p>
      <w:pPr>
        <w:pStyle w:val="FirstParagraph"/>
      </w:pPr>
      <w:r>
        <w:t xml:space="preserve">✅ Fair execution</w:t>
      </w:r>
      <w:r>
        <w:t xml:space="preserve"> </w:t>
      </w:r>
      <w:r>
        <w:t xml:space="preserve">✅ Transparent pricing</w:t>
      </w:r>
      <w:r>
        <w:t xml:space="preserve"> </w:t>
      </w:r>
      <w:r>
        <w:t xml:space="preserve">✅ Atomic settlement</w:t>
      </w:r>
      <w:r>
        <w:t xml:space="preserve"> </w:t>
      </w:r>
      <w:r>
        <w:t xml:space="preserve">✅ Audit trail</w:t>
      </w:r>
      <w:r>
        <w:t xml:space="preserve"> </w:t>
      </w:r>
      <w:r>
        <w:t xml:space="preserve">✅ Manipulation prevention</w:t>
      </w:r>
    </w:p>
    <w:bookmarkEnd w:id="36"/>
    <w:bookmarkStart w:id="37" w:name="frontendoperator-requirements"/>
    <w:p>
      <w:pPr>
        <w:pStyle w:val="Heading3"/>
      </w:pPr>
      <w:r>
        <w:t xml:space="preserve">6.2 Frontend/Operator Requirements</w:t>
      </w:r>
    </w:p>
    <w:p>
      <w:pPr>
        <w:pStyle w:val="FirstParagraph"/>
      </w:pPr>
      <w:r>
        <w:t xml:space="preserve">The following must be implemented at the frontend/broker-dealer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Responsibility</w:t>
            </w:r>
          </w:p>
        </w:tc>
      </w:tr>
      <w:tr>
        <w:tc>
          <w:tcPr/>
          <w:p>
            <w:pPr>
              <w:pStyle w:val="Compact"/>
            </w:pPr>
            <w:r>
              <w:t xml:space="preserve">KYC/AML</w:t>
            </w:r>
          </w:p>
        </w:tc>
        <w:tc>
          <w:tcPr/>
          <w:p>
            <w:pPr>
              <w:pStyle w:val="Compact"/>
            </w:pPr>
            <w:r>
              <w:t xml:space="preserve">Frontend operator</w:t>
            </w:r>
          </w:p>
        </w:tc>
      </w:tr>
      <w:tr>
        <w:tc>
          <w:tcPr/>
          <w:p>
            <w:pPr>
              <w:pStyle w:val="Compact"/>
            </w:pPr>
            <w:r>
              <w:t xml:space="preserve">Accredited investor verification</w:t>
            </w:r>
          </w:p>
        </w:tc>
        <w:tc>
          <w:tcPr/>
          <w:p>
            <w:pPr>
              <w:pStyle w:val="Compact"/>
            </w:pPr>
            <w:r>
              <w:t xml:space="preserve">Frontend operator</w:t>
            </w:r>
          </w:p>
        </w:tc>
      </w:tr>
      <w:tr>
        <w:tc>
          <w:tcPr/>
          <w:p>
            <w:pPr>
              <w:pStyle w:val="Compact"/>
            </w:pPr>
            <w:r>
              <w:t xml:space="preserve">Securities vs. commodity classification</w:t>
            </w:r>
          </w:p>
        </w:tc>
        <w:tc>
          <w:tcPr/>
          <w:p>
            <w:pPr>
              <w:pStyle w:val="Compact"/>
            </w:pPr>
            <w:r>
              <w:t xml:space="preserve">Frontend operator</w:t>
            </w:r>
          </w:p>
        </w:tc>
      </w:tr>
      <w:tr>
        <w:tc>
          <w:tcPr/>
          <w:p>
            <w:pPr>
              <w:pStyle w:val="Compact"/>
            </w:pPr>
            <w:r>
              <w:t xml:space="preserve">Restricted securities filtering</w:t>
            </w:r>
          </w:p>
        </w:tc>
        <w:tc>
          <w:tcPr/>
          <w:p>
            <w:pPr>
              <w:pStyle w:val="Compact"/>
            </w:pPr>
            <w:r>
              <w:t xml:space="preserve">Frontend operator</w:t>
            </w:r>
          </w:p>
        </w:tc>
      </w:tr>
      <w:tr>
        <w:tc>
          <w:tcPr/>
          <w:p>
            <w:pPr>
              <w:pStyle w:val="Compact"/>
            </w:pPr>
            <w:r>
              <w:t xml:space="preserve">Customer suitability</w:t>
            </w:r>
          </w:p>
        </w:tc>
        <w:tc>
          <w:tcPr/>
          <w:p>
            <w:pPr>
              <w:pStyle w:val="Compact"/>
            </w:pPr>
            <w:r>
              <w:t xml:space="preserve">Broker-dealer</w:t>
            </w:r>
          </w:p>
        </w:tc>
      </w:tr>
      <w:tr>
        <w:tc>
          <w:tcPr/>
          <w:p>
            <w:pPr>
              <w:pStyle w:val="Compact"/>
            </w:pPr>
            <w:r>
              <w:t xml:space="preserve">Books and records</w:t>
            </w:r>
          </w:p>
        </w:tc>
        <w:tc>
          <w:tcPr/>
          <w:p>
            <w:pPr>
              <w:pStyle w:val="Compact"/>
            </w:pPr>
            <w:r>
              <w:t xml:space="preserve">Broker-dealer</w:t>
            </w:r>
          </w:p>
        </w:tc>
      </w:tr>
      <w:tr>
        <w:tc>
          <w:tcPr/>
          <w:p>
            <w:pPr>
              <w:pStyle w:val="Compact"/>
            </w:pPr>
            <w:r>
              <w:t xml:space="preserve">Net capital requirements</w:t>
            </w:r>
          </w:p>
        </w:tc>
        <w:tc>
          <w:tcPr/>
          <w:p>
            <w:pPr>
              <w:pStyle w:val="Compact"/>
            </w:pPr>
            <w:r>
              <w:t xml:space="preserve">Broker-dealer</w:t>
            </w:r>
          </w:p>
        </w:tc>
      </w:tr>
      <w:tr>
        <w:tc>
          <w:tcPr/>
          <w:p>
            <w:pPr>
              <w:pStyle w:val="Compact"/>
            </w:pPr>
            <w:r>
              <w:t xml:space="preserve">SIPC membership</w:t>
            </w:r>
          </w:p>
        </w:tc>
        <w:tc>
          <w:tcPr/>
          <w:p>
            <w:pPr>
              <w:pStyle w:val="Compact"/>
            </w:pPr>
            <w:r>
              <w:t xml:space="preserve">Broker-dealer</w:t>
            </w:r>
          </w:p>
        </w:tc>
      </w:tr>
    </w:tbl>
    <w:p>
      <w:r>
        <w:pict>
          <v:rect style="width:0;height:1.5pt" o:hralign="center" o:hrstd="t" o:hr="t"/>
        </w:pict>
      </w:r>
    </w:p>
    <w:bookmarkEnd w:id="37"/>
    <w:bookmarkEnd w:id="38"/>
    <w:bookmarkStart w:id="41" w:name="recommended-registration-path"/>
    <w:p>
      <w:pPr>
        <w:pStyle w:val="Heading2"/>
      </w:pPr>
      <w:r>
        <w:t xml:space="preserve">7. Recommended Registration Path</w:t>
      </w:r>
    </w:p>
    <w:bookmarkStart w:id="39" w:name="for-protocol-operators"/>
    <w:p>
      <w:pPr>
        <w:pStyle w:val="Heading3"/>
      </w:pPr>
      <w:r>
        <w:t xml:space="preserve">7.1 For Protocol Operators</w:t>
      </w:r>
    </w:p>
    <w:p>
      <w:pPr>
        <w:pStyle w:val="Compact"/>
        <w:numPr>
          <w:ilvl w:val="0"/>
          <w:numId w:val="1001"/>
        </w:numPr>
      </w:pPr>
      <w:r>
        <w:rPr>
          <w:b/>
          <w:bCs/>
        </w:rPr>
        <w:t xml:space="preserve">Register as Broker-Dealer</w:t>
      </w:r>
      <w:r>
        <w:t xml:space="preserve"> </w:t>
      </w:r>
      <w:r>
        <w:t xml:space="preserve">(Form BD)</w:t>
      </w:r>
    </w:p>
    <w:p>
      <w:pPr>
        <w:pStyle w:val="Compact"/>
        <w:numPr>
          <w:ilvl w:val="0"/>
          <w:numId w:val="1001"/>
        </w:numPr>
      </w:pPr>
      <w:r>
        <w:rPr>
          <w:b/>
          <w:bCs/>
        </w:rPr>
        <w:t xml:space="preserve">File Form ATS</w:t>
      </w:r>
      <w:r>
        <w:t xml:space="preserve"> </w:t>
      </w:r>
      <w:r>
        <w:t xml:space="preserve">with operational details</w:t>
      </w:r>
    </w:p>
    <w:p>
      <w:pPr>
        <w:pStyle w:val="Compact"/>
        <w:numPr>
          <w:ilvl w:val="0"/>
          <w:numId w:val="1001"/>
        </w:numPr>
      </w:pPr>
      <w:r>
        <w:rPr>
          <w:b/>
          <w:bCs/>
        </w:rPr>
        <w:t xml:space="preserve">Implement compliance overlay</w:t>
      </w:r>
      <w:r>
        <w:t xml:space="preserve"> </w:t>
      </w:r>
      <w:r>
        <w:t xml:space="preserve">on frontend</w:t>
      </w:r>
    </w:p>
    <w:p>
      <w:pPr>
        <w:pStyle w:val="Compact"/>
        <w:numPr>
          <w:ilvl w:val="0"/>
          <w:numId w:val="1001"/>
        </w:numPr>
      </w:pPr>
      <w:r>
        <w:rPr>
          <w:b/>
          <w:bCs/>
        </w:rPr>
        <w:t xml:space="preserve">Engage with SEC Crypto Task Force</w:t>
      </w:r>
      <w:r>
        <w:t xml:space="preserve"> </w:t>
      </w:r>
      <w:r>
        <w:t xml:space="preserve">for guidance</w:t>
      </w:r>
    </w:p>
    <w:bookmarkEnd w:id="39"/>
    <w:bookmarkStart w:id="40" w:name="for-token-issuers-using-vibeswap"/>
    <w:p>
      <w:pPr>
        <w:pStyle w:val="Heading3"/>
      </w:pPr>
      <w:r>
        <w:t xml:space="preserve">7.2 For Token Issuers Using VibeSwap</w:t>
      </w:r>
    </w:p>
    <w:p>
      <w:pPr>
        <w:pStyle w:val="Compact"/>
        <w:numPr>
          <w:ilvl w:val="0"/>
          <w:numId w:val="1002"/>
        </w:numPr>
      </w:pPr>
      <w:r>
        <w:rPr>
          <w:b/>
          <w:bCs/>
        </w:rPr>
        <w:t xml:space="preserve">Determine security status</w:t>
      </w:r>
      <w:r>
        <w:t xml:space="preserve"> </w:t>
      </w:r>
      <w:r>
        <w:t xml:space="preserve">(Howey test)</w:t>
      </w:r>
    </w:p>
    <w:p>
      <w:pPr>
        <w:pStyle w:val="Compact"/>
        <w:numPr>
          <w:ilvl w:val="0"/>
          <w:numId w:val="1002"/>
        </w:numPr>
      </w:pPr>
      <w:r>
        <w:rPr>
          <w:b/>
          <w:bCs/>
        </w:rPr>
        <w:t xml:space="preserve">Register or qualify for exemption</w:t>
      </w:r>
      <w:r>
        <w:t xml:space="preserve"> </w:t>
      </w:r>
      <w:r>
        <w:t xml:space="preserve">(Reg D, Reg A+, Reg S)</w:t>
      </w:r>
    </w:p>
    <w:p>
      <w:pPr>
        <w:pStyle w:val="Compact"/>
        <w:numPr>
          <w:ilvl w:val="0"/>
          <w:numId w:val="1002"/>
        </w:numPr>
      </w:pPr>
      <w:r>
        <w:rPr>
          <w:b/>
          <w:bCs/>
        </w:rPr>
        <w:t xml:space="preserve">List on compliant frontend</w:t>
      </w:r>
      <w:r>
        <w:t xml:space="preserve"> </w:t>
      </w:r>
      <w:r>
        <w:t xml:space="preserve">with proper disclosures</w:t>
      </w:r>
    </w:p>
    <w:p>
      <w:r>
        <w:pict>
          <v:rect style="width:0;height:1.5pt" o:hralign="center" o:hrstd="t" o:hr="t"/>
        </w:pict>
      </w:r>
    </w:p>
    <w:bookmarkEnd w:id="40"/>
    <w:bookmarkEnd w:id="41"/>
    <w:bookmarkStart w:id="42" w:name="conclusion"/>
    <w:p>
      <w:pPr>
        <w:pStyle w:val="Heading2"/>
      </w:pPr>
      <w:r>
        <w:t xml:space="preserve">8. Conclusion</w:t>
      </w:r>
    </w:p>
    <w:p>
      <w:pPr>
        <w:pStyle w:val="FirstParagraph"/>
      </w:pPr>
      <w:r>
        <w:t xml:space="preserve">VibeSwap’s protocol architecture is</w:t>
      </w:r>
      <w:r>
        <w:t xml:space="preserve"> </w:t>
      </w:r>
      <w:r>
        <w:rPr>
          <w:b/>
          <w:bCs/>
        </w:rPr>
        <w:t xml:space="preserve">structurally compatible</w:t>
      </w:r>
      <w:r>
        <w:t xml:space="preserve"> </w:t>
      </w:r>
      <w:r>
        <w:t xml:space="preserve">with SEC regulatory requirements for alternative trading systems. Key compliance advantages:</w:t>
      </w:r>
    </w:p>
    <w:p>
      <w:pPr>
        <w:pStyle w:val="Compact"/>
        <w:numPr>
          <w:ilvl w:val="0"/>
          <w:numId w:val="1003"/>
        </w:numPr>
      </w:pPr>
      <w:r>
        <w:rPr>
          <w:b/>
          <w:bCs/>
        </w:rPr>
        <w:t xml:space="preserve">Exceeds settlement requirements</w:t>
      </w:r>
      <w:r>
        <w:t xml:space="preserve"> </w:t>
      </w:r>
      <w:r>
        <w:t xml:space="preserve">(T+0 vs T+1)</w:t>
      </w:r>
    </w:p>
    <w:p>
      <w:pPr>
        <w:pStyle w:val="Compact"/>
        <w:numPr>
          <w:ilvl w:val="0"/>
          <w:numId w:val="1003"/>
        </w:numPr>
      </w:pPr>
      <w:r>
        <w:rPr>
          <w:b/>
          <w:bCs/>
        </w:rPr>
        <w:t xml:space="preserve">Eliminates manipulation vectors</w:t>
      </w:r>
      <w:r>
        <w:t xml:space="preserve"> </w:t>
      </w:r>
      <w:r>
        <w:t xml:space="preserve">(cryptographic guarantees)</w:t>
      </w:r>
    </w:p>
    <w:p>
      <w:pPr>
        <w:pStyle w:val="Compact"/>
        <w:numPr>
          <w:ilvl w:val="0"/>
          <w:numId w:val="1003"/>
        </w:numPr>
      </w:pPr>
      <w:r>
        <w:rPr>
          <w:b/>
          <w:bCs/>
        </w:rPr>
        <w:t xml:space="preserve">Provides complete audit trail</w:t>
      </w:r>
      <w:r>
        <w:t xml:space="preserve"> </w:t>
      </w:r>
      <w:r>
        <w:t xml:space="preserve">(on-chain records)</w:t>
      </w:r>
    </w:p>
    <w:p>
      <w:pPr>
        <w:pStyle w:val="Compact"/>
        <w:numPr>
          <w:ilvl w:val="0"/>
          <w:numId w:val="1003"/>
        </w:numPr>
      </w:pPr>
      <w:r>
        <w:rPr>
          <w:b/>
          <w:bCs/>
        </w:rPr>
        <w:t xml:space="preserve">Supports best execution</w:t>
      </w:r>
      <w:r>
        <w:t xml:space="preserve"> </w:t>
      </w:r>
      <w:r>
        <w:t xml:space="preserve">(uniform clearing price)</w:t>
      </w:r>
    </w:p>
    <w:p>
      <w:pPr>
        <w:pStyle w:val="Compact"/>
        <w:numPr>
          <w:ilvl w:val="0"/>
          <w:numId w:val="1003"/>
        </w:numPr>
      </w:pPr>
      <w:r>
        <w:rPr>
          <w:b/>
          <w:bCs/>
        </w:rPr>
        <w:t xml:space="preserve">Enables innovation</w:t>
      </w:r>
      <w:r>
        <w:t xml:space="preserve"> </w:t>
      </w:r>
      <w:r>
        <w:t xml:space="preserve">(aligns with SEC modernization goals)</w:t>
      </w:r>
    </w:p>
    <w:p>
      <w:pPr>
        <w:pStyle w:val="FirstParagraph"/>
      </w:pPr>
      <w:r>
        <w:t xml:space="preserve">The protocol provides a compliant foundation. Frontend operators must layer additional compliance controls (KYC/AML, investor verification, security classification) appropriate to their regulatory status.</w:t>
      </w:r>
    </w:p>
    <w:p>
      <w:r>
        <w:pict>
          <v:rect style="width:0;height:1.5pt" o:hralign="center" o:hrstd="t" o:hr="t"/>
        </w:pict>
      </w:r>
    </w:p>
    <w:bookmarkEnd w:id="42"/>
    <w:bookmarkStart w:id="46" w:name="sources"/>
    <w:p>
      <w:pPr>
        <w:pStyle w:val="Heading2"/>
      </w:pPr>
      <w:r>
        <w:t xml:space="preserve">Sources</w:t>
      </w:r>
    </w:p>
    <w:p>
      <w:pPr>
        <w:pStyle w:val="Compact"/>
        <w:numPr>
          <w:ilvl w:val="0"/>
          <w:numId w:val="1004"/>
        </w:numPr>
      </w:pPr>
      <w:hyperlink r:id="rId11">
        <w:r>
          <w:rPr>
            <w:rStyle w:val="Hyperlink"/>
          </w:rPr>
          <w:t xml:space="preserve">SEC Division of Trading and Markets FAQs</w:t>
        </w:r>
      </w:hyperlink>
    </w:p>
    <w:p>
      <w:pPr>
        <w:pStyle w:val="Compact"/>
        <w:numPr>
          <w:ilvl w:val="0"/>
          <w:numId w:val="1004"/>
        </w:numPr>
      </w:pPr>
      <w:hyperlink r:id="rId43">
        <w:r>
          <w:rPr>
            <w:rStyle w:val="Hyperlink"/>
          </w:rPr>
          <w:t xml:space="preserve">Commissioner Peirce Statement on Crypto ATSs</w:t>
        </w:r>
      </w:hyperlink>
    </w:p>
    <w:p>
      <w:pPr>
        <w:pStyle w:val="Compact"/>
        <w:numPr>
          <w:ilvl w:val="0"/>
          <w:numId w:val="1004"/>
        </w:numPr>
      </w:pPr>
      <w:hyperlink r:id="rId44">
        <w:r>
          <w:rPr>
            <w:rStyle w:val="Hyperlink"/>
          </w:rPr>
          <w:t xml:space="preserve">SEC Statement on Crypto Asset Custody</w:t>
        </w:r>
      </w:hyperlink>
    </w:p>
    <w:p>
      <w:pPr>
        <w:pStyle w:val="Compact"/>
        <w:numPr>
          <w:ilvl w:val="0"/>
          <w:numId w:val="1004"/>
        </w:numPr>
      </w:pPr>
      <w:hyperlink r:id="rId45">
        <w:r>
          <w:rPr>
            <w:rStyle w:val="Hyperlink"/>
          </w:rPr>
          <w:t xml:space="preserve">Regulation ATS Overview</w:t>
        </w:r>
      </w:hyperlink>
    </w:p>
    <w:p>
      <w:r>
        <w:pict>
          <v:rect style="width:0;height:1.5pt" o:hralign="center" o:hrstd="t" o:hr="t"/>
        </w:pict>
      </w:r>
    </w:p>
    <w:p>
      <w:pPr>
        <w:pStyle w:val="FirstParagraph"/>
      </w:pPr>
      <w:r>
        <w:rPr>
          <w:i/>
          <w:iCs/>
        </w:rPr>
        <w:t xml:space="preserve">This analysis is for informational purposes and does not constitute legal advice. Consult securities counsel for specific regulatory guidance.</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dart.deloitte.com/USDART/home/accounting/sec/rules-regulations/242-regulations-m-sho-ats-ac/242-regulation-ats-alternative-trading-systems" TargetMode="External" /><Relationship Type="http://schemas.openxmlformats.org/officeDocument/2006/relationships/hyperlink" Id="rId43" Target="https://www.sec.gov/newsroom/speeches-statements/peirce-12172025-then-some-request-information-regarding-national-securities-exchanges-alternative-trading-systems" TargetMode="External" /><Relationship Type="http://schemas.openxmlformats.org/officeDocument/2006/relationships/hyperlink" Id="rId44" Target="https://www.sec.gov/newsroom/speeches-statements/trading-markets-121725-statement-custody-crypto-asset-securities-broker-dealers" TargetMode="External" /><Relationship Type="http://schemas.openxmlformats.org/officeDocument/2006/relationships/hyperlink" Id="rId11" Target="https://www.sec.gov/rules-regulations/staff-guidance/trading-markets-frequently-asked-questions/frequently-asked-questions-relating-crypto-asset-activities-distributed-ledger-technology" TargetMode="External" /></Relationships>
</file>

<file path=word/_rels/footnotes.xml.rels><?xml version="1.0" encoding="UTF-8"?><Relationships xmlns="http://schemas.openxmlformats.org/package/2006/relationships"><Relationship Type="http://schemas.openxmlformats.org/officeDocument/2006/relationships/hyperlink" Id="rId45" Target="https://dart.deloitte.com/USDART/home/accounting/sec/rules-regulations/242-regulations-m-sho-ats-ac/242-regulation-ats-alternative-trading-systems" TargetMode="External" /><Relationship Type="http://schemas.openxmlformats.org/officeDocument/2006/relationships/hyperlink" Id="rId43" Target="https://www.sec.gov/newsroom/speeches-statements/peirce-12172025-then-some-request-information-regarding-national-securities-exchanges-alternative-trading-systems" TargetMode="External" /><Relationship Type="http://schemas.openxmlformats.org/officeDocument/2006/relationships/hyperlink" Id="rId44" Target="https://www.sec.gov/newsroom/speeches-statements/trading-markets-121725-statement-custody-crypto-asset-securities-broker-dealers" TargetMode="External" /><Relationship Type="http://schemas.openxmlformats.org/officeDocument/2006/relationships/hyperlink" Id="rId11" Target="https://www.sec.gov/rules-regulations/staff-guidance/trading-markets-frequently-asked-questions/frequently-asked-questions-relating-crypto-asset-activities-distributed-ledger-techn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2026-02-09T16:39:04Z</dcterms:created>
  <dcterms:modified xsi:type="dcterms:W3CDTF">2026-02-09T16:39:04Z</dcterms:modified>
</cp:coreProperties>
</file>

<file path=docProps/custom.xml><?xml version="1.0" encoding="utf-8"?>
<Properties xmlns="http://schemas.openxmlformats.org/officeDocument/2006/custom-properties" xmlns:vt="http://schemas.openxmlformats.org/officeDocument/2006/docPropsVTypes"/>
</file>