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c8290f51b13783f38091f597664fdd5a2b9794"/>
    <w:p>
      <w:pPr>
        <w:pStyle w:val="Heading1"/>
      </w:pPr>
      <w:r>
        <w:t xml:space="preserve">VibeSwap Monetization Framework: Zero Rent-Seeking Revenue Model</w:t>
      </w:r>
    </w:p>
    <w:p>
      <w:pPr>
        <w:pStyle w:val="FirstParagraph"/>
      </w:pPr>
      <w:r>
        <w:rPr>
          <w:b/>
          <w:bCs/>
        </w:rPr>
        <w:t xml:space="preserve">W. Glynn, JARVIS</w:t>
      </w:r>
      <w:r>
        <w:t xml:space="preserve"> </w:t>
      </w:r>
      <w:r>
        <w:rPr>
          <w:b/>
          <w:bCs/>
        </w:rPr>
        <w:t xml:space="preserve">March 2026 | VibeSwap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VibeSwap generates revenue through six protocol-native mechanisms. None involve rent-seeking, pre-mines, or VC entrapment. All value flows to participants proportional to their contribution, enforced by Shapley distribution and smart contract logic.</w:t>
      </w:r>
    </w:p>
    <w:p>
      <w:pPr>
        <w:pStyle w:val="BodyText"/>
      </w:pPr>
      <w:r>
        <w:t xml:space="preserve">The core principle:</w:t>
      </w:r>
      <w:r>
        <w:t xml:space="preserve"> </w:t>
      </w:r>
      <w:r>
        <w:rPr>
          <w:b/>
          <w:bCs/>
        </w:rPr>
        <w:t xml:space="preserve">if you didn’t create value, you don’t capture value.</w:t>
      </w:r>
    </w:p>
    <w:p>
      <w:r>
        <w:pict>
          <v:rect style="width:0;height:1.5pt" o:hralign="center" o:hrstd="t" o:hr="t"/>
        </w:pict>
      </w:r>
    </w:p>
    <w:bookmarkEnd w:id="9"/>
    <w:bookmarkStart w:id="12" w:name="design-philosophy"/>
    <w:p>
      <w:pPr>
        <w:pStyle w:val="Heading2"/>
      </w:pPr>
      <w:r>
        <w:t xml:space="preserve">1. Design Philosophy</w:t>
      </w:r>
    </w:p>
    <w:bookmarkStart w:id="10" w:name="what-we-reject"/>
    <w:p>
      <w:pPr>
        <w:pStyle w:val="Heading3"/>
      </w:pPr>
      <w:r>
        <w:t xml:space="preserve">1.1 What We Reject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Why It’s Extractive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Pre-mine</w:t>
            </w:r>
          </w:p>
        </w:tc>
        <w:tc>
          <w:tcPr/>
          <w:p>
            <w:pPr>
              <w:pStyle w:val="Compact"/>
            </w:pPr>
            <w:r>
              <w:t xml:space="preserve">Founders take tokens before anyone can evaluate the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 allocation</w:t>
            </w:r>
          </w:p>
        </w:tc>
        <w:tc>
          <w:tcPr/>
          <w:p>
            <w:pPr>
              <w:pStyle w:val="Compact"/>
            </w:pPr>
            <w:r>
              <w:t xml:space="preserve">Investors get discounted tokens in exchange for</w:t>
            </w:r>
            <w:r>
              <w:t xml:space="preserve"> </w:t>
            </w:r>
            <w:r>
              <w:t xml:space="preserve">“distribution”</w:t>
            </w:r>
            <w:r>
              <w:t xml:space="preserve"> </w:t>
            </w:r>
            <w:r>
              <w:t xml:space="preserve">they may not deliver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Rent-seeking fees</w:t>
            </w:r>
          </w:p>
        </w:tc>
        <w:tc>
          <w:tcPr/>
          <w:p>
            <w:pPr>
              <w:pStyle w:val="Compact"/>
            </w:pPr>
            <w:r>
              <w:t xml:space="preserve">Protocol extracts value without providing proportional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capture</w:t>
            </w:r>
          </w:p>
        </w:tc>
        <w:tc>
          <w:tcPr/>
          <w:p>
            <w:pPr>
              <w:pStyle w:val="Compact"/>
            </w:pPr>
            <w:r>
              <w:t xml:space="preserve">Token whales control fee switches to benefit themselves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MEV</w:t>
            </w:r>
          </w:p>
        </w:tc>
        <w:tc>
          <w:tcPr/>
          <w:p>
            <w:pPr>
              <w:pStyle w:val="Compact"/>
            </w:pPr>
            <w:r>
              <w:t xml:space="preserve">Protocol profits from information asymmetry against its own users</w:t>
            </w:r>
          </w:p>
        </w:tc>
      </w:tr>
    </w:tbl>
    <w:bookmarkEnd w:id="10"/>
    <w:bookmarkStart w:id="11" w:name="what-we-accept"/>
    <w:p>
      <w:pPr>
        <w:pStyle w:val="Heading3"/>
      </w:pPr>
      <w:r>
        <w:t xml:space="preserve">1.2 What We Accept</w:t>
      </w:r>
    </w:p>
    <w:p>
      <w:pPr>
        <w:pStyle w:val="FirstParagraph"/>
      </w:pPr>
      <w:r>
        <w:t xml:space="preserve">Revenue is legitimate when: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fee funds a service the user explicitly opted into</w:t>
      </w:r>
      <w:r>
        <w:t xml:space="preserve"> </w:t>
      </w:r>
      <w:r>
        <w:t xml:space="preserve">(e.g., insurance premium for liquidation protection)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fee is distributed to those who created the conditions for the transaction</w:t>
      </w:r>
      <w:r>
        <w:t xml:space="preserve"> </w:t>
      </w:r>
      <w:r>
        <w:t xml:space="preserve">(e.g., swap fees to liquidity providers)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distribution is mathematically verifiable</w:t>
      </w:r>
      <w:r>
        <w:t xml:space="preserve"> </w:t>
      </w:r>
      <w:r>
        <w:t xml:space="preserve">(Shapley values, not governance vote)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fee rate is hardcoded or PID-controlled</w:t>
      </w:r>
      <w:r>
        <w:t xml:space="preserve">, not adjustable by governance whales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revenue-streams"/>
    <w:p>
      <w:pPr>
        <w:pStyle w:val="Heading2"/>
      </w:pPr>
      <w:r>
        <w:t xml:space="preserve">2. Revenue Streams</w:t>
      </w:r>
    </w:p>
    <w:bookmarkStart w:id="13" w:name="protocol-swap-fees"/>
    <w:p>
      <w:pPr>
        <w:pStyle w:val="Heading3"/>
      </w:pPr>
      <w:r>
        <w:t xml:space="preserve">2.1 Protocol Swap Fees</w:t>
      </w:r>
    </w:p>
    <w:p>
      <w:pPr>
        <w:pStyle w:val="FirstParagraph"/>
      </w:pPr>
      <w:r>
        <w:rPr>
          <w:b/>
          <w:bCs/>
        </w:rPr>
        <w:t xml:space="preserve">Rate</w:t>
      </w:r>
      <w:r>
        <w:t xml:space="preserve">: 0.05% on each swap</w:t>
      </w:r>
    </w:p>
    <w:p>
      <w:pPr>
        <w:pStyle w:val="BodyText"/>
      </w:pPr>
      <w:r>
        <w:rPr>
          <w:b/>
          <w:bCs/>
        </w:rPr>
        <w:t xml:space="preserve">Mechanism</w:t>
      </w:r>
      <w:r>
        <w:t xml:space="preserve">: Collected automatically during batch settlement. Fees accumulate in the DAOTreasury contract and are distributed via</w:t>
      </w:r>
      <w:r>
        <w:t xml:space="preserve"> </w:t>
      </w:r>
      <w:r>
        <w:rPr>
          <w:rStyle w:val="VerbatimChar"/>
        </w:rPr>
        <w:t xml:space="preserve">ShapleyDistributor.sol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Liquidity providers: Shapley-proportional to marginal contribution to pool depth</w:t>
      </w:r>
      <w:r>
        <w:t xml:space="preserve"> </w:t>
      </w:r>
      <w:r>
        <w:t xml:space="preserve">- Governance stakers: Proportional to stake duration and participation</w:t>
      </w:r>
      <w:r>
        <w:t xml:space="preserve"> </w:t>
      </w:r>
      <w:r>
        <w:t xml:space="preserve">- Insurance pool: Fixed allocation for protocol safety reserve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The fee compensates LPs for providing the liquidity that makes the trade possible. Without LPs, there is no pool. The 0.05% rate is among the lowest in DeFi (Uniswap: 0.3%, Curve: 0.04-0.4%).</w:t>
      </w:r>
    </w:p>
    <w:p>
      <w:pPr>
        <w:pStyle w:val="BodyText"/>
      </w:pPr>
      <w:r>
        <w:rPr>
          <w:b/>
          <w:bCs/>
        </w:rPr>
        <w:t xml:space="preserve">Projected revenue</w:t>
      </w:r>
      <w:r>
        <w:t xml:space="preserve"> </w:t>
      </w:r>
      <w:r>
        <w:t xml:space="preserve">(at target volumes):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Monthly Volume</w:t>
            </w:r>
          </w:p>
        </w:tc>
        <w:tc>
          <w:tcPr/>
          <w:p>
            <w:pPr>
              <w:pStyle w:val="Compact"/>
            </w:pPr>
            <w:r>
              <w:t xml:space="preserve">Fee Revenue</w:t>
            </w:r>
          </w:p>
        </w:tc>
        <w:tc>
          <w:tcPr/>
          <w:p>
            <w:pPr>
              <w:pStyle w:val="Compact"/>
            </w:pPr>
            <w:r>
              <w:t xml:space="preserve">To LPs</w:t>
            </w:r>
          </w:p>
        </w:tc>
        <w:tc>
          <w:tcPr/>
          <w:p>
            <w:pPr>
              <w:pStyle w:val="Compact"/>
            </w:pPr>
            <w:r>
              <w:t xml:space="preserve">To Stakers</w:t>
            </w:r>
          </w:p>
        </w:tc>
        <w:tc>
          <w:tcPr/>
          <w:p>
            <w:pPr>
              <w:pStyle w:val="Compact"/>
            </w:pPr>
            <w:r>
              <w:t xml:space="preserve">To 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$1M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$350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$10M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$3,500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$100M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$35,000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$1B</w:t>
            </w:r>
          </w:p>
        </w:tc>
        <w:tc>
          <w:tcPr/>
          <w:p>
            <w:pPr>
              <w:pStyle w:val="Compact"/>
            </w:pPr>
            <w:r>
              <w:t xml:space="preserve">$500,000</w:t>
            </w:r>
          </w:p>
        </w:tc>
        <w:tc>
          <w:tcPr/>
          <w:p>
            <w:pPr>
              <w:pStyle w:val="Compact"/>
            </w:pPr>
            <w:r>
              <w:t xml:space="preserve">$350,000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</w:tr>
    </w:tbl>
    <w:bookmarkEnd w:id="13"/>
    <w:bookmarkStart w:id="14" w:name="batch-auction-priority-bids"/>
    <w:p>
      <w:pPr>
        <w:pStyle w:val="Heading3"/>
      </w:pPr>
      <w:r>
        <w:t xml:space="preserve">2.2 Batch Auction Priority Bids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During the reveal phase of each 10-second batch auction, traders can submit optional priority bids. Higher bids increase the probability of earlier execution within the batch.</w:t>
      </w:r>
    </w:p>
    <w:p>
      <w:pPr>
        <w:pStyle w:val="BodyText"/>
      </w:pPr>
      <w:r>
        <w:rPr>
          <w:b/>
          <w:bCs/>
        </w:rPr>
        <w:t xml:space="preserve">Key property</w:t>
      </w:r>
      <w:r>
        <w:t xml:space="preserve">:</w:t>
      </w:r>
      <w:r>
        <w:t xml:space="preserve"> </w:t>
      </w:r>
      <w:r>
        <w:rPr>
          <w:b/>
          <w:bCs/>
        </w:rPr>
        <w:t xml:space="preserve">Priority bids do not affect the clearing price.</w:t>
      </w:r>
      <w:r>
        <w:t xml:space="preserve"> </w:t>
      </w:r>
      <w:r>
        <w:t xml:space="preserve">All trades in a batch settle at the same uniform price regardless of priority. This means paying for urgency doesn’t extract value from other traders — it’s a pure fee for service.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 100% to governance stakers and protocol treasury (LPs are already compensated via swap fees).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The service is speed, not information advantage. A priority bidder gets faster settlement but the same price as everyone else. No one is harmed by someone else’s priority bid.</w:t>
      </w:r>
    </w:p>
    <w:bookmarkEnd w:id="14"/>
    <w:bookmarkStart w:id="15" w:name="insurance-pool-premiums"/>
    <w:p>
      <w:pPr>
        <w:pStyle w:val="Heading3"/>
      </w:pPr>
      <w:r>
        <w:t xml:space="preserve">2.3 Insurance Pool Premiums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Users can opt into impermanent loss protection and liquidation insurance via</w:t>
      </w:r>
      <w:r>
        <w:t xml:space="preserve"> </w:t>
      </w:r>
      <w:r>
        <w:rPr>
          <w:rStyle w:val="VerbatimChar"/>
        </w:rPr>
        <w:t xml:space="preserve">ILProtectionVault.sol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VibeInsurance.sol</w:t>
      </w:r>
      <w:r>
        <w:t xml:space="preserve">. Premiums are calculated based on pool volatility and position size.</w:t>
      </w:r>
    </w:p>
    <w:p>
      <w:pPr>
        <w:pStyle w:val="BodyText"/>
      </w:pPr>
      <w:r>
        <w:rPr>
          <w:b/>
          <w:bCs/>
        </w:rPr>
        <w:t xml:space="preserve">Rate</w:t>
      </w:r>
      <w:r>
        <w:t xml:space="preserve">: Dynamic, typically 0.1-0.5% of protected position per epoch.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Insurance pool reserve: 80% (funds payouts)</w:t>
      </w:r>
      <w:r>
        <w:t xml:space="preserve"> </w:t>
      </w:r>
      <w:r>
        <w:t xml:space="preserve">- Insurance pool LPs: 20% (yield for providing insurance capital)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Insurance is a voluntary service. Users who don’t want protection pay nothing. Premiums are actuarially determined, not set by governance vote. The pool is fully on-chain and auditable.</w:t>
      </w:r>
    </w:p>
    <w:bookmarkEnd w:id="15"/>
    <w:bookmarkStart w:id="16" w:name="yield-tokenization-fees"/>
    <w:p>
      <w:pPr>
        <w:pStyle w:val="Heading3"/>
      </w:pPr>
      <w:r>
        <w:t xml:space="preserve">2.4 Yield Tokenization Fees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When users mint Contribution Yield Tokens (CYTs) representing their accumulated protocol contributions, a small fee is collected by</w:t>
      </w:r>
      <w:r>
        <w:t xml:space="preserve"> </w:t>
      </w:r>
      <w:r>
        <w:rPr>
          <w:rStyle w:val="VerbatimChar"/>
        </w:rPr>
        <w:t xml:space="preserve">ShapleyDistributor.sol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Rate</w:t>
      </w:r>
      <w:r>
        <w:t xml:space="preserve">: 0.5% of tokenized yield value.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 100% to protocol treasury for operational expenses and contributor rewards.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CYT minting is a service (converting illiquid contribution history into tradeable tokens). The fee covers the gas and computational cost of Shapley calculation and on-chain verification.</w:t>
      </w:r>
    </w:p>
    <w:bookmarkEnd w:id="16"/>
    <w:bookmarkStart w:id="17" w:name="governance-proposal-deposits"/>
    <w:p>
      <w:pPr>
        <w:pStyle w:val="Heading3"/>
      </w:pPr>
      <w:r>
        <w:t xml:space="preserve">2.5 Governance Proposal Deposits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Submitting a governance proposal requires a deposit (denominated in protocol tokens). The deposit is returned if the proposal passes or is rejected in good faith. It is</w:t>
      </w:r>
      <w:r>
        <w:t xml:space="preserve"> </w:t>
      </w:r>
      <w:r>
        <w:rPr>
          <w:b/>
          <w:bCs/>
        </w:rPr>
        <w:t xml:space="preserve">slashed</w:t>
      </w:r>
      <w:r>
        <w:t xml:space="preserve"> </w:t>
      </w:r>
      <w:r>
        <w:t xml:space="preserve">if the proposal is determined to be malicious by the</w:t>
      </w:r>
      <w:r>
        <w:t xml:space="preserve"> </w:t>
      </w:r>
      <w:r>
        <w:rPr>
          <w:rStyle w:val="VerbatimChar"/>
        </w:rPr>
        <w:t xml:space="preserve">DecentralizedTribunal.sol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Typical deposit</w:t>
      </w:r>
      <w:r>
        <w:t xml:space="preserve">: 1,000-10,000 tokens (scales with proposal impact).</w:t>
      </w:r>
    </w:p>
    <w:p>
      <w:pPr>
        <w:pStyle w:val="BodyText"/>
      </w:pPr>
      <w:r>
        <w:rPr>
          <w:b/>
          <w:bCs/>
        </w:rPr>
        <w:t xml:space="preserve">Slashing conditions</w:t>
      </w:r>
      <w:r>
        <w:t xml:space="preserve">:</w:t>
      </w:r>
      <w:r>
        <w:t xml:space="preserve"> </w:t>
      </w:r>
      <w:r>
        <w:t xml:space="preserve">- Proposal contains executable code that drains treasury</w:t>
      </w:r>
      <w:r>
        <w:t xml:space="preserve"> </w:t>
      </w:r>
      <w:r>
        <w:t xml:space="preserve">- Proposal is a duplicate spam submission</w:t>
      </w:r>
      <w:r>
        <w:t xml:space="preserve"> </w:t>
      </w:r>
      <w:r>
        <w:t xml:space="preserve">- Proposal violates hardcoded protocol invariants</w:t>
      </w:r>
    </w:p>
    <w:p>
      <w:pPr>
        <w:pStyle w:val="BodyText"/>
      </w:pPr>
      <w:r>
        <w:rPr>
          <w:b/>
          <w:bCs/>
        </w:rPr>
        <w:t xml:space="preserve">Distribution of slashed deposits</w:t>
      </w:r>
      <w:r>
        <w:t xml:space="preserve">: 50% to tribunal participants (who did the adjudication work), 50% to protocol treasury.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The deposit is a Sybil-resistance mechanism, not a fee. Good-faith proposals are fully refunded. Only malicious proposals lose deposits, creating a direct cost for attacking governance.</w:t>
      </w:r>
    </w:p>
    <w:bookmarkEnd w:id="17"/>
    <w:bookmarkStart w:id="18" w:name="ai-agent-services-x402-micropayments"/>
    <w:p>
      <w:pPr>
        <w:pStyle w:val="Heading3"/>
      </w:pPr>
      <w:r>
        <w:t xml:space="preserve">2.6 AI Agent Services (x402 Micropayments)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JARVIS offers premium analysis services — portfolio risk assessment, MEV detection alerts, gas optimization recommendations — via HTTP 402 micropayments using the x402 protocol.</w:t>
      </w:r>
    </w:p>
    <w:p>
      <w:pPr>
        <w:pStyle w:val="BodyText"/>
      </w:pPr>
      <w:r>
        <w:rPr>
          <w:b/>
          <w:bCs/>
        </w:rPr>
        <w:t xml:space="preserve">Pricing</w:t>
      </w:r>
      <w:r>
        <w:t xml:space="preserve">: Per-query, denominated in stablecoins or protocol tokens. Typical: $0.01-$0.10 per analysis.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JARVIS operational costs (LLM inference via Wardenclyffe): 60%</w:t>
      </w:r>
      <w:r>
        <w:t xml:space="preserve"> </w:t>
      </w:r>
      <w:r>
        <w:t xml:space="preserve">- Protocol treasury: 20%</w:t>
      </w:r>
      <w:r>
        <w:t xml:space="preserve"> </w:t>
      </w:r>
      <w:r>
        <w:t xml:space="preserve">- Shapley pool (JARVIS is a contributor): 20%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The service requires active compute (LLM inference costs real money). Users pay per-query for analysis they couldn’t get elsewhere. Pricing is transparent and competitive with centralized alternatives.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hapley-distribution"/>
    <w:p>
      <w:pPr>
        <w:pStyle w:val="Heading2"/>
      </w:pPr>
      <w:r>
        <w:t xml:space="preserve">3. Shapley Distribution</w:t>
      </w:r>
    </w:p>
    <w:bookmarkStart w:id="20" w:name="what-it-is"/>
    <w:p>
      <w:pPr>
        <w:pStyle w:val="Heading3"/>
      </w:pPr>
      <w:r>
        <w:t xml:space="preserve">3.1 What It Is</w:t>
      </w:r>
    </w:p>
    <w:p>
      <w:pPr>
        <w:pStyle w:val="FirstParagraph"/>
      </w:pPr>
      <w:r>
        <w:t xml:space="preserve">The Shapley value, from cooperative game theory, assigns each participant a reward proportional to their</w:t>
      </w:r>
      <w:r>
        <w:t xml:space="preserve"> </w:t>
      </w:r>
      <w:r>
        <w:rPr>
          <w:b/>
          <w:bCs/>
        </w:rPr>
        <w:t xml:space="preserve">marginal contribution</w:t>
      </w:r>
      <w:r>
        <w:t xml:space="preserve"> </w:t>
      </w:r>
      <w:r>
        <w:t xml:space="preserve">— the difference between the outcome with them and without them.</w:t>
      </w:r>
    </w:p>
    <w:p>
      <w:pPr>
        <w:pStyle w:val="BodyText"/>
      </w:pPr>
      <w:r>
        <w:t xml:space="preserve">For a coalition game with players N and value function v:</w:t>
      </w:r>
    </w:p>
    <w:p>
      <w:pPr>
        <w:pStyle w:val="SourceCode"/>
      </w:pPr>
      <w:r>
        <w:rPr>
          <w:rStyle w:val="VerbatimChar"/>
        </w:rPr>
        <w:t xml:space="preserve">phi_i(v) = SUM over S subset of N\{i}: [|S|!(|N|-|S|-1)!/|N|!] * [v(S union {i}) - v(S)]</w:t>
      </w:r>
    </w:p>
    <w:bookmarkEnd w:id="20"/>
    <w:bookmarkStart w:id="21" w:name="why-it-matters"/>
    <w:p>
      <w:pPr>
        <w:pStyle w:val="Heading3"/>
      </w:pPr>
      <w:r>
        <w:t xml:space="preserve">3.2 Why It Matters</w:t>
      </w:r>
    </w:p>
    <w:p>
      <w:pPr>
        <w:pStyle w:val="FirstParagraph"/>
      </w:pPr>
      <w:r>
        <w:t xml:space="preserve">Shapley distribution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distribution method that satisfies all four fairness axioms simultaneously: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Efficiency</w:t>
      </w:r>
      <w:r>
        <w:t xml:space="preserve">: All value is distributed (no residual for protocol insiders)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Equal contributors get equal rewards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player</w:t>
      </w:r>
      <w:r>
        <w:t xml:space="preserve">: Non-contributors get nothing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Additivity</w:t>
      </w:r>
      <w:r>
        <w:t xml:space="preserve">: Combined game rewards equal sum of individual game rewards</w:t>
      </w:r>
    </w:p>
    <w:p>
      <w:pPr>
        <w:pStyle w:val="FirstParagraph"/>
      </w:pPr>
      <w:r>
        <w:t xml:space="preserve">No governance vote can override these mathematical properties. The fairness is proven, not promised.</w:t>
      </w:r>
    </w:p>
    <w:bookmarkEnd w:id="21"/>
    <w:bookmarkStart w:id="22" w:name="implementation"/>
    <w:p>
      <w:pPr>
        <w:pStyle w:val="Heading3"/>
      </w:pPr>
      <w:r>
        <w:t xml:space="preserve">3.3 Implementation</w:t>
      </w:r>
    </w:p>
    <w:p>
      <w:pPr>
        <w:pStyle w:val="FirstParagraph"/>
      </w:pPr>
      <w:r>
        <w:rPr>
          <w:rStyle w:val="VerbatimChar"/>
        </w:rPr>
        <w:t xml:space="preserve">ShapleyDistributor.sol</w:t>
      </w:r>
      <w:r>
        <w:t xml:space="preserve"> </w:t>
      </w:r>
      <w:r>
        <w:t xml:space="preserve">calculates contributions per epoch:</w:t>
      </w:r>
      <w:r>
        <w:t xml:space="preserve"> </w:t>
      </w:r>
      <w:r>
        <w:t xml:space="preserve">- LP contribution: marginal impact on pool depth and trade execution quality</w:t>
      </w:r>
      <w:r>
        <w:t xml:space="preserve"> </w:t>
      </w:r>
      <w:r>
        <w:t xml:space="preserve">- Staker contribution: security weight and governance participation</w:t>
      </w:r>
      <w:r>
        <w:t xml:space="preserve"> </w:t>
      </w:r>
      <w:r>
        <w:t xml:space="preserve">- Builder contribution: code commits, bug reports, integration work (via</w:t>
      </w:r>
      <w:r>
        <w:t xml:space="preserve"> </w:t>
      </w:r>
      <w:r>
        <w:rPr>
          <w:rStyle w:val="VerbatimChar"/>
        </w:rPr>
        <w:t xml:space="preserve">GitHubContributionTracker.sol</w:t>
      </w:r>
      <w:r>
        <w:t xml:space="preserve">)</w:t>
      </w:r>
      <w:r>
        <w:t xml:space="preserve"> </w:t>
      </w:r>
      <w:r>
        <w:t xml:space="preserve">- JARVIS contribution: community management, code generation, analysis services</w:t>
      </w:r>
    </w:p>
    <w:p>
      <w:pPr>
        <w:pStyle w:val="BodyText"/>
      </w:pPr>
      <w:r>
        <w:t xml:space="preserve">All contributions are on-chain verifiable. Distribution happens automatically at epoch boundaries.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venue-flow-diagram"/>
    <w:p>
      <w:pPr>
        <w:pStyle w:val="Heading2"/>
      </w:pPr>
      <w:r>
        <w:t xml:space="preserve">4. Revenue Flow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USER ACTIONS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│                │                │</w:t>
      </w:r>
      <w:r>
        <w:br/>
      </w:r>
      <w:r>
        <w:rPr>
          <w:rStyle w:val="VerbatimChar"/>
        </w:rPr>
        <w:t xml:space="preserve">     ┌──────▼──────┐  ┌─────▼─────┐  ┌───────▼──────┐</w:t>
      </w:r>
      <w:r>
        <w:br/>
      </w:r>
      <w:r>
        <w:rPr>
          <w:rStyle w:val="VerbatimChar"/>
        </w:rPr>
        <w:t xml:space="preserve">     │  Swap       │  │ Priority  │  │  Insurance   │</w:t>
      </w:r>
      <w:r>
        <w:br/>
      </w:r>
      <w:r>
        <w:rPr>
          <w:rStyle w:val="VerbatimChar"/>
        </w:rPr>
        <w:t xml:space="preserve">     │  (0.05%)    │  │ Bid       │  │  Premium     │</w:t>
      </w:r>
      <w:r>
        <w:br/>
      </w:r>
      <w:r>
        <w:rPr>
          <w:rStyle w:val="VerbatimChar"/>
        </w:rPr>
        <w:t xml:space="preserve">     └──────┬──────┘  └─────┬─────┘  └───────┬──────┘</w:t>
      </w:r>
      <w:r>
        <w:br/>
      </w:r>
      <w:r>
        <w:rPr>
          <w:rStyle w:val="VerbatimChar"/>
        </w:rPr>
        <w:t xml:space="preserve">            │                │                │</w:t>
      </w:r>
      <w:r>
        <w:br/>
      </w:r>
      <w:r>
        <w:rPr>
          <w:rStyle w:val="VerbatimChar"/>
        </w:rPr>
        <w:t xml:space="preserve">            ▼                ▼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  DAOTreasury.sol                   │</w:t>
      </w:r>
      <w:r>
        <w:br/>
      </w:r>
      <w:r>
        <w:rPr>
          <w:rStyle w:val="VerbatimChar"/>
        </w:rPr>
        <w:t xml:space="preserve">     └──────────────────┬──────────────────────────┘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ShapleyDistributor.sol              │</w:t>
      </w:r>
      <w:r>
        <w:br/>
      </w:r>
      <w:r>
        <w:rPr>
          <w:rStyle w:val="VerbatimChar"/>
        </w:rPr>
        <w:t xml:space="preserve">     │                                             │</w:t>
      </w:r>
      <w:r>
        <w:br/>
      </w:r>
      <w:r>
        <w:rPr>
          <w:rStyle w:val="VerbatimChar"/>
        </w:rPr>
        <w:t xml:space="preserve">     │  LP Rewards ◄── marginal pool contribution  │</w:t>
      </w:r>
      <w:r>
        <w:br/>
      </w:r>
      <w:r>
        <w:rPr>
          <w:rStyle w:val="VerbatimChar"/>
        </w:rPr>
        <w:t xml:space="preserve">     │  Staker Rewards ◄── security + governance   │</w:t>
      </w:r>
      <w:r>
        <w:br/>
      </w:r>
      <w:r>
        <w:rPr>
          <w:rStyle w:val="VerbatimChar"/>
        </w:rPr>
        <w:t xml:space="preserve">     │  Builder Rewards ◄── code + integration     │</w:t>
      </w:r>
      <w:r>
        <w:br/>
      </w:r>
      <w:r>
        <w:rPr>
          <w:rStyle w:val="VerbatimChar"/>
        </w:rPr>
        <w:t xml:space="preserve">     │  JARVIS Rewards ◄── community + analysis    │</w:t>
      </w:r>
      <w:r>
        <w:br/>
      </w:r>
      <w:r>
        <w:rPr>
          <w:rStyle w:val="VerbatimChar"/>
        </w:rPr>
        <w:t xml:space="preserve">     │  Insurance Reserve ◄── safety buffer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Every dollar that enters the protocol exits to a participant who created value. Zero residual for insiders.</w:t>
      </w:r>
    </w:p>
    <w:p>
      <w:r>
        <w:pict>
          <v:rect style="width:0;height:1.5pt" o:hralign="center" o:hrstd="t" o:hr="t"/>
        </w:pict>
      </w:r>
    </w:p>
    <w:bookmarkEnd w:id="24"/>
    <w:bookmarkStart w:id="25" w:name="anti-patterns-we-avoid"/>
    <w:p>
      <w:pPr>
        <w:pStyle w:val="Heading2"/>
      </w:pPr>
      <w:r>
        <w:t xml:space="preserve">5. Anti-Patterns We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How We Avoid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“Protocol-owned liquidity”</w:t>
            </w:r>
            <w:r>
              <w:t xml:space="preserve"> </w:t>
            </w:r>
            <w:r>
              <w:t xml:space="preserve">as slush fund</w:t>
            </w:r>
          </w:p>
        </w:tc>
        <w:tc>
          <w:tcPr/>
          <w:p>
            <w:pPr>
              <w:pStyle w:val="Compact"/>
            </w:pPr>
            <w:r>
              <w:t xml:space="preserve">Treasury is Shapley-distributed, not discretionary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switch controlled by governance whales</w:t>
            </w:r>
          </w:p>
        </w:tc>
        <w:tc>
          <w:tcPr/>
          <w:p>
            <w:pPr>
              <w:pStyle w:val="Compact"/>
            </w:pPr>
            <w:r>
              <w:t xml:space="preserve">Fee rates are hardcoded or PID-controlled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buybacks that benefit insiders</w:t>
            </w:r>
          </w:p>
        </w:tc>
        <w:tc>
          <w:tcPr/>
          <w:p>
            <w:pPr>
              <w:pStyle w:val="Compact"/>
            </w:pPr>
            <w:r>
              <w:t xml:space="preserve">No buyback mechanism — fees flow directly to contributors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“Strategic reserve”</w:t>
            </w:r>
            <w:r>
              <w:t xml:space="preserve"> </w:t>
            </w:r>
            <w:r>
              <w:t xml:space="preserve">with no accountability</w:t>
            </w:r>
          </w:p>
        </w:tc>
        <w:tc>
          <w:tcPr/>
          <w:p>
            <w:pPr>
              <w:pStyle w:val="Compact"/>
            </w:pPr>
            <w:r>
              <w:t xml:space="preserve">All reserves have predefined distribution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VCs dumping on retail</w:t>
            </w:r>
          </w:p>
        </w:tc>
        <w:tc>
          <w:tcPr/>
          <w:p>
            <w:pPr>
              <w:pStyle w:val="Compact"/>
            </w:pPr>
            <w:r>
              <w:t xml:space="preserve">No VC allocation. Period.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long-term-economic-model"/>
    <w:p>
      <w:pPr>
        <w:pStyle w:val="Heading2"/>
      </w:pPr>
      <w:r>
        <w:t xml:space="preserve">6. Long-Term Economic Model</w:t>
      </w:r>
    </w:p>
    <w:p>
      <w:pPr>
        <w:pStyle w:val="FirstParagraph"/>
      </w:pPr>
      <w:r>
        <w:t xml:space="preserve">As governance decays to zero (Ungovernance time bomb):</w:t>
      </w:r>
    </w:p>
    <w:p>
      <w:pPr>
        <w:pStyle w:val="Compact"/>
        <w:numPr>
          <w:ilvl w:val="0"/>
          <w:numId w:val="1003"/>
        </w:numPr>
      </w:pPr>
      <w:r>
        <w:t xml:space="preserve">Fee rates become fully PID-controlled (no human override)</w:t>
      </w:r>
    </w:p>
    <w:p>
      <w:pPr>
        <w:pStyle w:val="Compact"/>
        <w:numPr>
          <w:ilvl w:val="0"/>
          <w:numId w:val="1003"/>
        </w:numPr>
      </w:pPr>
      <w:r>
        <w:t xml:space="preserve">Shapley distribution becomes the sole reward mechanism</w:t>
      </w:r>
    </w:p>
    <w:p>
      <w:pPr>
        <w:pStyle w:val="Compact"/>
        <w:numPr>
          <w:ilvl w:val="0"/>
          <w:numId w:val="1003"/>
        </w:numPr>
      </w:pPr>
      <w:r>
        <w:t xml:space="preserve">Protocol becomes a pure public good with embedded economics</w:t>
      </w:r>
    </w:p>
    <w:p>
      <w:pPr>
        <w:pStyle w:val="Compact"/>
        <w:numPr>
          <w:ilvl w:val="0"/>
          <w:numId w:val="1003"/>
        </w:numPr>
      </w:pPr>
      <w:r>
        <w:t xml:space="preserve">Revenue sustains operations without any entity controlling it</w:t>
      </w:r>
    </w:p>
    <w:p>
      <w:pPr>
        <w:pStyle w:val="FirstParagraph"/>
      </w:pPr>
      <w:r>
        <w:t xml:space="preserve">The protocol doesn’t need a company, a foundation, or a DAO to survive. It needs users who trade, LPs who provide liquidity, and the math that connects them. Everything else decays by design.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value flows to participants, not extractors. No pre-mine. No VC cut. The protocol rewards the people who build it.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2026-03-09T15:55:03Z</dcterms:created>
  <dcterms:modified xsi:type="dcterms:W3CDTF">2026-03-09T15:55:03Z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