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ungovernance-time-bomb-specification"/>
    <w:p>
      <w:pPr>
        <w:pStyle w:val="Heading1"/>
      </w:pPr>
      <w:r>
        <w:t xml:space="preserve">Ungovernance Time Bomb — Specification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Architecture Design</w:t>
      </w:r>
      <w:r>
        <w:t xml:space="preserve"> </w:t>
      </w:r>
      <w:r>
        <w:rPr>
          <w:b/>
          <w:bCs/>
        </w:rPr>
        <w:t xml:space="preserve">Priority</w:t>
      </w:r>
      <w:r>
        <w:t xml:space="preserve">: Design now, implement in governance contracts</w:t>
      </w:r>
      <w:r>
        <w:t xml:space="preserve"> </w:t>
      </w:r>
      <w:r>
        <w:rPr>
          <w:b/>
          <w:bCs/>
        </w:rPr>
        <w:t xml:space="preserve">Endgame</w:t>
      </w:r>
      <w:r>
        <w:t xml:space="preserve">: Protocol becomes a natural system, not a political one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philosophy"/>
    <w:p>
      <w:pPr>
        <w:pStyle w:val="Heading2"/>
      </w:pPr>
      <w:r>
        <w:t xml:space="preserve">Philosophy</w:t>
      </w:r>
    </w:p>
    <w:p>
      <w:pPr>
        <w:pStyle w:val="BlockText"/>
      </w:pPr>
      <w:r>
        <w:t xml:space="preserve">You can’t get to zero governance from zero. You have to start with some governance, but hardcode that it dwindles to nothing.</w:t>
      </w:r>
    </w:p>
    <w:p>
      <w:pPr>
        <w:pStyle w:val="FirstParagraph"/>
      </w:pPr>
      <w:r>
        <w:t xml:space="preserve">Governance exists at launch as a necessary scaffolding. But unlike every other protocol, VibeSwap’s governance is designed to self-destruct. The protocol becomes autonomous — a natural system governed by mechanism design, not politics.</w:t>
      </w:r>
    </w:p>
    <w:bookmarkEnd w:id="9"/>
    <w:bookmarkStart w:id="15" w:name="mechanism"/>
    <w:p>
      <w:pPr>
        <w:pStyle w:val="Heading2"/>
      </w:pPr>
      <w:r>
        <w:t xml:space="preserve">Mechanism</w:t>
      </w:r>
    </w:p>
    <w:bookmarkStart w:id="10" w:name="decaying-governance-power"/>
    <w:p>
      <w:pPr>
        <w:pStyle w:val="Heading3"/>
      </w:pPr>
      <w:r>
        <w:t xml:space="preserve">1. Decaying Governance Power</w:t>
      </w:r>
    </w:p>
    <w:p>
      <w:pPr>
        <w:pStyle w:val="FirstParagraph"/>
      </w:pPr>
      <w:r>
        <w:t xml:space="preserve">Each governance token has a</w:t>
      </w:r>
      <w:r>
        <w:t xml:space="preserve"> </w:t>
      </w:r>
      <w:r>
        <w:rPr>
          <w:b/>
          <w:bCs/>
        </w:rPr>
        <w:t xml:space="preserve">half-life</w:t>
      </w:r>
      <w:r>
        <w:t xml:space="preserve"> </w:t>
      </w:r>
      <w:r>
        <w:t xml:space="preserve">on its voting weight.</w:t>
      </w:r>
    </w:p>
    <w:p>
      <w:pPr>
        <w:pStyle w:val="SourceCode"/>
      </w:pPr>
      <w:r>
        <w:rPr>
          <w:rStyle w:val="VerbatimChar"/>
        </w:rPr>
        <w:t xml:space="preserve">function votingWeight(uint256 tokenId) public view returns (uint256) {</w:t>
      </w:r>
      <w:r>
        <w:br/>
      </w:r>
      <w:r>
        <w:rPr>
          <w:rStyle w:val="VerbatimChar"/>
        </w:rPr>
        <w:t xml:space="preserve">    uint256 age = block.timestamp - mintedAt[tokenId];</w:t>
      </w:r>
      <w:r>
        <w:br/>
      </w:r>
      <w:r>
        <w:rPr>
          <w:rStyle w:val="VerbatimChar"/>
        </w:rPr>
        <w:t xml:space="preserve">    uint256 halfLives = age / HALF_LIFE_PERIOD; // e.g., 365 days</w:t>
      </w:r>
      <w:r>
        <w:br/>
      </w:r>
      <w:r>
        <w:rPr>
          <w:rStyle w:val="VerbatimChar"/>
        </w:rPr>
        <w:t xml:space="preserve">    // After 4 years (4 half-lives): weight = 1/16th of original</w:t>
      </w:r>
      <w:r>
        <w:br/>
      </w:r>
      <w:r>
        <w:rPr>
          <w:rStyle w:val="VerbatimChar"/>
        </w:rPr>
        <w:t xml:space="preserve">    return baseWeight &gt;&gt; halfLives; // bitshift = divide by 2^n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Decay curve:</w:t>
      </w:r>
      <w:r>
        <w:t xml:space="preserve"> </w:t>
      </w:r>
      <w:r>
        <w:t xml:space="preserve">| Year | Voting Weight |</w:t>
      </w:r>
      <w:r>
        <w:t xml:space="preserve"> </w:t>
      </w:r>
      <w:r>
        <w:t xml:space="preserve">|——|————–|</w:t>
      </w:r>
      <w:r>
        <w:t xml:space="preserve"> </w:t>
      </w:r>
      <w:r>
        <w:t xml:space="preserve">| 0 | 100% |</w:t>
      </w:r>
      <w:r>
        <w:t xml:space="preserve"> </w:t>
      </w:r>
      <w:r>
        <w:t xml:space="preserve">| 1 | 50% |</w:t>
      </w:r>
      <w:r>
        <w:t xml:space="preserve"> </w:t>
      </w:r>
      <w:r>
        <w:t xml:space="preserve">| 2 | 25% |</w:t>
      </w:r>
      <w:r>
        <w:t xml:space="preserve"> </w:t>
      </w:r>
      <w:r>
        <w:t xml:space="preserve">| 3 | 12.5% |</w:t>
      </w:r>
      <w:r>
        <w:t xml:space="preserve"> </w:t>
      </w:r>
      <w:r>
        <w:t xml:space="preserve">| 4 | 6.25% |</w:t>
      </w:r>
      <w:r>
        <w:t xml:space="preserve"> </w:t>
      </w:r>
      <w:r>
        <w:t xml:space="preserve">| 8 | 0.39% (effectively zero) |</w:t>
      </w:r>
    </w:p>
    <w:bookmarkEnd w:id="10"/>
    <w:bookmarkStart w:id="11" w:name="dispute-resolution-only"/>
    <w:p>
      <w:pPr>
        <w:pStyle w:val="Heading3"/>
      </w:pPr>
      <w:r>
        <w:t xml:space="preserve">2. Dispute Resolution Only</w:t>
      </w:r>
    </w:p>
    <w:p>
      <w:pPr>
        <w:pStyle w:val="FirstParagraph"/>
      </w:pPr>
      <w:r>
        <w:t xml:space="preserve">Governance scope is</w:t>
      </w:r>
      <w:r>
        <w:t xml:space="preserve"> </w:t>
      </w:r>
      <w:r>
        <w:rPr>
          <w:b/>
          <w:bCs/>
        </w:rPr>
        <w:t xml:space="preserve">strictly limited</w:t>
      </w:r>
      <w:r>
        <w:t xml:space="preserve"> </w:t>
      </w:r>
      <w:r>
        <w:t xml:space="preserve">to:</w:t>
      </w:r>
      <w:r>
        <w:t xml:space="preserve"> </w:t>
      </w:r>
      <w:r>
        <w:t xml:space="preserve">- Slashing disputes (was the slash justified?)</w:t>
      </w:r>
      <w:r>
        <w:t xml:space="preserve"> </w:t>
      </w:r>
      <w:r>
        <w:t xml:space="preserve">- Fork disputes (which fork is canonical?)</w:t>
      </w:r>
      <w:r>
        <w:t xml:space="preserve"> </w:t>
      </w:r>
      <w:r>
        <w:t xml:space="preserve">- Emergency pauses (circuit breaker activation)</w:t>
      </w:r>
      <w:r>
        <w:t xml:space="preserve"> </w:t>
      </w:r>
      <w:r>
        <w:t xml:space="preserve">- Parameter bound violations (is a parameter outside safe range?)</w:t>
      </w:r>
    </w:p>
    <w:p>
      <w:pPr>
        <w:pStyle w:val="BodyText"/>
      </w:pPr>
      <w:r>
        <w:t xml:space="preserve">Governance</w:t>
      </w:r>
      <w:r>
        <w:t xml:space="preserve"> </w:t>
      </w:r>
      <w:r>
        <w:rPr>
          <w:b/>
          <w:bCs/>
        </w:rPr>
        <w:t xml:space="preserve">cannot</w:t>
      </w:r>
      <w:r>
        <w:t xml:space="preserve">:</w:t>
      </w:r>
      <w:r>
        <w:t xml:space="preserve"> </w:t>
      </w:r>
      <w:r>
        <w:t xml:space="preserve">- Propose new features</w:t>
      </w:r>
      <w:r>
        <w:t xml:space="preserve"> </w:t>
      </w:r>
      <w:r>
        <w:t xml:space="preserve">- Change core mechanism design</w:t>
      </w:r>
      <w:r>
        <w:t xml:space="preserve"> </w:t>
      </w:r>
      <w:r>
        <w:t xml:space="preserve">- Allocate treasury funds</w:t>
      </w:r>
      <w:r>
        <w:t xml:space="preserve"> </w:t>
      </w:r>
      <w:r>
        <w:t xml:space="preserve">- Modify the decay curve itself (immutable)</w:t>
      </w:r>
      <w:r>
        <w:t xml:space="preserve"> </w:t>
      </w:r>
      <w:r>
        <w:t xml:space="preserve">- Upgrade contracts (upgrades are automatic via PID)</w:t>
      </w:r>
    </w:p>
    <w:bookmarkEnd w:id="11"/>
    <w:bookmarkStart w:id="12" w:name="automatic-upgrades-via-pid-controllers"/>
    <w:p>
      <w:pPr>
        <w:pStyle w:val="Heading3"/>
      </w:pPr>
      <w:r>
        <w:t xml:space="preserve">3. Automatic Upgrades via PID Controllers</w:t>
      </w:r>
    </w:p>
    <w:p>
      <w:pPr>
        <w:pStyle w:val="FirstParagraph"/>
      </w:pPr>
      <w:r>
        <w:t xml:space="preserve">Protocol parameters self-adjust based on metrics:</w:t>
      </w:r>
    </w:p>
    <w:p>
      <w:pPr>
        <w:pStyle w:val="SourceCode"/>
      </w:pPr>
      <w:r>
        <w:rPr>
          <w:rStyle w:val="VerbatimChar"/>
        </w:rPr>
        <w:t xml:space="preserve">// PID Controller for swap fee</w:t>
      </w:r>
      <w:r>
        <w:br/>
      </w:r>
      <w:r>
        <w:rPr>
          <w:rStyle w:val="VerbatimChar"/>
        </w:rPr>
        <w:t xml:space="preserve">function adjustFee() external {</w:t>
      </w:r>
      <w:r>
        <w:br/>
      </w:r>
      <w:r>
        <w:rPr>
          <w:rStyle w:val="VerbatimChar"/>
        </w:rPr>
        <w:t xml:space="preserve">    uint256 targetVolume = getTargetVolume();</w:t>
      </w:r>
      <w:r>
        <w:br/>
      </w:r>
      <w:r>
        <w:rPr>
          <w:rStyle w:val="VerbatimChar"/>
        </w:rPr>
        <w:t xml:space="preserve">    uint256 actualVolume = get24hVolume();</w:t>
      </w:r>
      <w:r>
        <w:br/>
      </w:r>
      <w:r>
        <w:br/>
      </w:r>
      <w:r>
        <w:rPr>
          <w:rStyle w:val="VerbatimChar"/>
        </w:rPr>
        <w:t xml:space="preserve">    int256 error = int256(targetVolume) - int256(actualVolume);</w:t>
      </w:r>
      <w:r>
        <w:br/>
      </w:r>
      <w:r>
        <w:br/>
      </w:r>
      <w:r>
        <w:rPr>
          <w:rStyle w:val="VerbatimChar"/>
        </w:rPr>
        <w:t xml:space="preserve">    // PID calculation</w:t>
      </w:r>
      <w:r>
        <w:br/>
      </w:r>
      <w:r>
        <w:rPr>
          <w:rStyle w:val="VerbatimChar"/>
        </w:rPr>
        <w:t xml:space="preserve">    int256 adjustment = (Kp * error + Ki * integral + Kd * derivative) / SCALE;</w:t>
      </w:r>
      <w:r>
        <w:br/>
      </w:r>
      <w:r>
        <w:br/>
      </w:r>
      <w:r>
        <w:rPr>
          <w:rStyle w:val="VerbatimChar"/>
        </w:rPr>
        <w:t xml:space="preserve">    // Apply within bounds</w:t>
      </w:r>
      <w:r>
        <w:br/>
      </w:r>
      <w:r>
        <w:rPr>
          <w:rStyle w:val="VerbatimChar"/>
        </w:rPr>
        <w:t xml:space="preserve">    swapFeeBps = uint256(int256(swapFeeBps) + adjustment);</w:t>
      </w:r>
      <w:r>
        <w:br/>
      </w:r>
      <w:r>
        <w:rPr>
          <w:rStyle w:val="VerbatimChar"/>
        </w:rPr>
        <w:t xml:space="preserve">    swapFeeBps = bound(swapFeeBps, MIN_FEE, MAX_FEE);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Parameters that self-adjust:</w:t>
      </w:r>
      <w:r>
        <w:t xml:space="preserve"> </w:t>
      </w:r>
      <w:r>
        <w:t xml:space="preserve">- Swap fee rate (targets optimal volume)</w:t>
      </w:r>
      <w:r>
        <w:t xml:space="preserve"> </w:t>
      </w:r>
      <w:r>
        <w:t xml:space="preserve">- Insurance premium (targets pool utilization)</w:t>
      </w:r>
      <w:r>
        <w:t xml:space="preserve"> </w:t>
      </w:r>
      <w:r>
        <w:t xml:space="preserve">- Circuit breaker thresholds (adapts to volatility)</w:t>
      </w:r>
      <w:r>
        <w:t xml:space="preserve"> </w:t>
      </w:r>
      <w:r>
        <w:t xml:space="preserve">- Priority bid floor (adapts to demand)</w:t>
      </w:r>
    </w:p>
    <w:bookmarkEnd w:id="12"/>
    <w:bookmarkStart w:id="13" w:name="sunset-clause"/>
    <w:p>
      <w:pPr>
        <w:pStyle w:val="Heading3"/>
      </w:pPr>
      <w:r>
        <w:t xml:space="preserve">4. Sunset Clause</w:t>
      </w:r>
    </w:p>
    <w:p>
      <w:pPr>
        <w:pStyle w:val="FirstParagraph"/>
      </w:pPr>
      <w:r>
        <w:t xml:space="preserve">The governance module has a</w:t>
      </w:r>
      <w:r>
        <w:t xml:space="preserve"> </w:t>
      </w:r>
      <w:r>
        <w:rPr>
          <w:b/>
          <w:bCs/>
        </w:rPr>
        <w:t xml:space="preserve">predetermined end date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uint256 public immutable GOVERNANCE_SUNSET; // Set at deployment</w:t>
      </w:r>
      <w:r>
        <w:br/>
      </w:r>
      <w:r>
        <w:br/>
      </w:r>
      <w:r>
        <w:rPr>
          <w:rStyle w:val="VerbatimChar"/>
        </w:rPr>
        <w:t xml:space="preserve">function propose(bytes calldata proposal) external {</w:t>
      </w:r>
      <w:r>
        <w:br/>
      </w:r>
      <w:r>
        <w:rPr>
          <w:rStyle w:val="VerbatimChar"/>
        </w:rPr>
        <w:t xml:space="preserve">    require(block.number &lt; GOVERNANCE_SUNSET, "Governance has sunset");</w:t>
      </w:r>
      <w:r>
        <w:br/>
      </w:r>
      <w:r>
        <w:rPr>
          <w:rStyle w:val="VerbatimChar"/>
        </w:rPr>
        <w:t xml:space="preserve">    // ... normal proposal logic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Extension requires 75% supermajority</w:t>
      </w:r>
      <w:r>
        <w:br/>
      </w:r>
      <w:r>
        <w:rPr>
          <w:rStyle w:val="VerbatimChar"/>
        </w:rPr>
        <w:t xml:space="preserve">function extendSunset(uint256 newSunset) external onlyGovernance {</w:t>
      </w:r>
      <w:r>
        <w:br/>
      </w:r>
      <w:r>
        <w:rPr>
          <w:rStyle w:val="VerbatimChar"/>
        </w:rPr>
        <w:t xml:space="preserve">    require(getApprovalRate() &gt;= 7500, "Need 75% supermajority");</w:t>
      </w:r>
      <w:r>
        <w:br/>
      </w:r>
      <w:r>
        <w:rPr>
          <w:rStyle w:val="VerbatimChar"/>
        </w:rPr>
        <w:t xml:space="preserve">    require(newSunset &lt;= GOVERNANCE_SUNSET + MAX_EXTENSION, "Extension too long");</w:t>
      </w:r>
      <w:r>
        <w:br/>
      </w:r>
      <w:r>
        <w:rPr>
          <w:rStyle w:val="VerbatimChar"/>
        </w:rPr>
        <w:t xml:space="preserve">    GOVERNANCE_SUNSET = newSunset;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Default sunset:</w:t>
      </w:r>
      <w:r>
        <w:t xml:space="preserve"> </w:t>
      </w:r>
      <w:r>
        <w:t xml:space="preserve">4 years post-launch. Extensions capped at 1 year each.</w:t>
      </w:r>
    </w:p>
    <w:bookmarkEnd w:id="13"/>
    <w:bookmarkStart w:id="14" w:name="fork-escape"/>
    <w:p>
      <w:pPr>
        <w:pStyle w:val="Heading3"/>
      </w:pPr>
      <w:r>
        <w:t xml:space="preserve">5. Fork Escape</w:t>
      </w:r>
    </w:p>
    <w:p>
      <w:pPr>
        <w:pStyle w:val="FirstParagraph"/>
      </w:pPr>
      <w:r>
        <w:t xml:space="preserve">If governance becomes corrupt despite all safeguards:</w:t>
      </w:r>
      <w:r>
        <w:t xml:space="preserve"> </w:t>
      </w:r>
      <w:r>
        <w:t xml:space="preserve">- Users can fork with zero penalty</w:t>
      </w:r>
      <w:r>
        <w:t xml:space="preserve"> </w:t>
      </w:r>
      <w:r>
        <w:t xml:space="preserve">- Fee split ensures economic continuity (50/50 with parent)</w:t>
      </w:r>
      <w:r>
        <w:t xml:space="preserve"> </w:t>
      </w:r>
      <w:r>
        <w:t xml:space="preserve">- Forking is explicitly encouraged as a safety valve</w:t>
      </w:r>
      <w:r>
        <w:t xml:space="preserve"> </w:t>
      </w:r>
      <w:r>
        <w:t xml:space="preserve">- No social stigma — forking IS the dispute resolution of last resort</w:t>
      </w:r>
    </w:p>
    <w:bookmarkEnd w:id="14"/>
    <w:bookmarkEnd w:id="15"/>
    <w:bookmarkStart w:id="20" w:name="implementation-phases"/>
    <w:p>
      <w:pPr>
        <w:pStyle w:val="Heading2"/>
      </w:pPr>
      <w:r>
        <w:t xml:space="preserve">Implementation Phases</w:t>
      </w:r>
    </w:p>
    <w:bookmarkStart w:id="16" w:name="phase-1-launch"/>
    <w:p>
      <w:pPr>
        <w:pStyle w:val="Heading3"/>
      </w:pPr>
      <w:r>
        <w:t xml:space="preserve">Phase 1: Launch</w:t>
      </w:r>
    </w:p>
    <w:p>
      <w:pPr>
        <w:pStyle w:val="Compact"/>
        <w:numPr>
          <w:ilvl w:val="0"/>
          <w:numId w:val="1001"/>
        </w:numPr>
      </w:pPr>
      <w:r>
        <w:t xml:space="preserve">Full governance with decay enabled</w:t>
      </w:r>
    </w:p>
    <w:p>
      <w:pPr>
        <w:pStyle w:val="Compact"/>
        <w:numPr>
          <w:ilvl w:val="0"/>
          <w:numId w:val="1001"/>
        </w:numPr>
      </w:pPr>
      <w:r>
        <w:t xml:space="preserve">Dispute resolution scope enforced</w:t>
      </w:r>
    </w:p>
    <w:p>
      <w:pPr>
        <w:pStyle w:val="Compact"/>
        <w:numPr>
          <w:ilvl w:val="0"/>
          <w:numId w:val="1001"/>
        </w:numPr>
      </w:pPr>
      <w:r>
        <w:t xml:space="preserve">PID controllers for fee parameters</w:t>
      </w:r>
    </w:p>
    <w:p>
      <w:pPr>
        <w:pStyle w:val="Compact"/>
        <w:numPr>
          <w:ilvl w:val="0"/>
          <w:numId w:val="1001"/>
        </w:numPr>
      </w:pPr>
      <w:r>
        <w:t xml:space="preserve">Sunset block set to launch + 4 years</w:t>
      </w:r>
    </w:p>
    <w:bookmarkEnd w:id="16"/>
    <w:bookmarkStart w:id="17" w:name="phase-2-year-1-2"/>
    <w:p>
      <w:pPr>
        <w:pStyle w:val="Heading3"/>
      </w:pPr>
      <w:r>
        <w:t xml:space="preserve">Phase 2: Year 1-2</w:t>
      </w:r>
    </w:p>
    <w:p>
      <w:pPr>
        <w:pStyle w:val="Compact"/>
        <w:numPr>
          <w:ilvl w:val="0"/>
          <w:numId w:val="1002"/>
        </w:numPr>
      </w:pPr>
      <w:r>
        <w:t xml:space="preserve">Governance weight decays naturally</w:t>
      </w:r>
    </w:p>
    <w:p>
      <w:pPr>
        <w:pStyle w:val="Compact"/>
        <w:numPr>
          <w:ilvl w:val="0"/>
          <w:numId w:val="1002"/>
        </w:numPr>
      </w:pPr>
      <w:r>
        <w:t xml:space="preserve">PID controllers prove themselves</w:t>
      </w:r>
    </w:p>
    <w:p>
      <w:pPr>
        <w:pStyle w:val="Compact"/>
        <w:numPr>
          <w:ilvl w:val="0"/>
          <w:numId w:val="1002"/>
        </w:numPr>
      </w:pPr>
      <w:r>
        <w:t xml:space="preserve">Community learns to trust mechanism design</w:t>
      </w:r>
    </w:p>
    <w:p>
      <w:pPr>
        <w:pStyle w:val="Compact"/>
        <w:numPr>
          <w:ilvl w:val="0"/>
          <w:numId w:val="1002"/>
        </w:numPr>
      </w:pPr>
      <w:r>
        <w:t xml:space="preserve">Fork network provides additional safety valve</w:t>
      </w:r>
    </w:p>
    <w:bookmarkEnd w:id="17"/>
    <w:bookmarkStart w:id="18" w:name="phase-3-year-3-4"/>
    <w:p>
      <w:pPr>
        <w:pStyle w:val="Heading3"/>
      </w:pPr>
      <w:r>
        <w:t xml:space="preserve">Phase 3: Year 3-4</w:t>
      </w:r>
    </w:p>
    <w:p>
      <w:pPr>
        <w:pStyle w:val="Compact"/>
        <w:numPr>
          <w:ilvl w:val="0"/>
          <w:numId w:val="1003"/>
        </w:numPr>
      </w:pPr>
      <w:r>
        <w:t xml:space="preserve">Governance weight effectively negligible</w:t>
      </w:r>
    </w:p>
    <w:p>
      <w:pPr>
        <w:pStyle w:val="Compact"/>
        <w:numPr>
          <w:ilvl w:val="0"/>
          <w:numId w:val="1003"/>
        </w:numPr>
      </w:pPr>
      <w:r>
        <w:t xml:space="preserve">Only emergency disputes use remaining power</w:t>
      </w:r>
    </w:p>
    <w:p>
      <w:pPr>
        <w:pStyle w:val="Compact"/>
        <w:numPr>
          <w:ilvl w:val="0"/>
          <w:numId w:val="1003"/>
        </w:numPr>
      </w:pPr>
      <w:r>
        <w:t xml:space="preserve">Protocol is self-governing via PID + fork incentives</w:t>
      </w:r>
    </w:p>
    <w:p>
      <w:pPr>
        <w:pStyle w:val="Compact"/>
        <w:numPr>
          <w:ilvl w:val="0"/>
          <w:numId w:val="1003"/>
        </w:numPr>
      </w:pPr>
      <w:r>
        <w:t xml:space="preserve">Sunset approaching — community decides if extension needed</w:t>
      </w:r>
    </w:p>
    <w:bookmarkEnd w:id="18"/>
    <w:bookmarkStart w:id="19" w:name="phase-4-post-sunset"/>
    <w:p>
      <w:pPr>
        <w:pStyle w:val="Heading3"/>
      </w:pPr>
      <w:r>
        <w:t xml:space="preserve">Phase 4: Post-Sunset</w:t>
      </w:r>
    </w:p>
    <w:p>
      <w:pPr>
        <w:pStyle w:val="Compact"/>
        <w:numPr>
          <w:ilvl w:val="0"/>
          <w:numId w:val="1004"/>
        </w:numPr>
      </w:pPr>
      <w:r>
        <w:t xml:space="preserve">Governance module disabled</w:t>
      </w:r>
    </w:p>
    <w:p>
      <w:pPr>
        <w:pStyle w:val="Compact"/>
        <w:numPr>
          <w:ilvl w:val="0"/>
          <w:numId w:val="1004"/>
        </w:numPr>
      </w:pPr>
      <w:r>
        <w:t xml:space="preserve">Protocol runs on pure mechanism design</w:t>
      </w:r>
    </w:p>
    <w:p>
      <w:pPr>
        <w:pStyle w:val="Compact"/>
        <w:numPr>
          <w:ilvl w:val="0"/>
          <w:numId w:val="1004"/>
        </w:numPr>
      </w:pPr>
      <w:r>
        <w:t xml:space="preserve">Disputes handled by DecentralizedTribunal (automated)</w:t>
      </w:r>
    </w:p>
    <w:p>
      <w:pPr>
        <w:pStyle w:val="Compact"/>
        <w:numPr>
          <w:ilvl w:val="0"/>
          <w:numId w:val="1004"/>
        </w:numPr>
      </w:pPr>
      <w:r>
        <w:t xml:space="preserve">Fork escape remains as ultimate safety valve</w:t>
      </w:r>
    </w:p>
    <w:bookmarkEnd w:id="19"/>
    <w:bookmarkEnd w:id="20"/>
    <w:bookmarkStart w:id="21" w:name="X79e3caa6e9e5a4bf43d448696882ed71ae53704"/>
    <w:p>
      <w:pPr>
        <w:pStyle w:val="Heading2"/>
      </w:pPr>
      <w:r>
        <w:t xml:space="preserve">Immutable Properties (Hardcoded, Never Changeable)</w:t>
      </w:r>
    </w:p>
    <w:p>
      <w:pPr>
        <w:pStyle w:val="Compact"/>
        <w:numPr>
          <w:ilvl w:val="0"/>
          <w:numId w:val="1005"/>
        </w:numPr>
      </w:pPr>
      <w:r>
        <w:t xml:space="preserve">Half-life decay rate</w:t>
      </w:r>
    </w:p>
    <w:p>
      <w:pPr>
        <w:pStyle w:val="Compact"/>
        <w:numPr>
          <w:ilvl w:val="0"/>
          <w:numId w:val="1005"/>
        </w:numPr>
      </w:pPr>
      <w:r>
        <w:t xml:space="preserve">Dispute-only scope restriction</w:t>
      </w:r>
    </w:p>
    <w:p>
      <w:pPr>
        <w:pStyle w:val="Compact"/>
        <w:numPr>
          <w:ilvl w:val="0"/>
          <w:numId w:val="1005"/>
        </w:numPr>
      </w:pPr>
      <w:r>
        <w:t xml:space="preserve">Sunset clause existence</w:t>
      </w:r>
    </w:p>
    <w:p>
      <w:pPr>
        <w:pStyle w:val="Compact"/>
        <w:numPr>
          <w:ilvl w:val="0"/>
          <w:numId w:val="1005"/>
        </w:numPr>
      </w:pPr>
      <w:r>
        <w:t xml:space="preserve">Fork escape right</w:t>
      </w:r>
    </w:p>
    <w:p>
      <w:pPr>
        <w:pStyle w:val="Compact"/>
        <w:numPr>
          <w:ilvl w:val="0"/>
          <w:numId w:val="1005"/>
        </w:numPr>
      </w:pPr>
      <w:r>
        <w:t xml:space="preserve">Fee distribution formula (Shapley)</w:t>
      </w:r>
    </w:p>
    <w:p>
      <w:pPr>
        <w:pStyle w:val="Compact"/>
        <w:numPr>
          <w:ilvl w:val="0"/>
          <w:numId w:val="1005"/>
        </w:numPr>
      </w:pPr>
      <w:r>
        <w:t xml:space="preserve">Batch auction uniform clearing price</w:t>
      </w:r>
    </w:p>
    <w:p>
      <w:pPr>
        <w:pStyle w:val="BlockText"/>
      </w:pPr>
      <w:r>
        <w:t xml:space="preserve">The protocol becomes a natural system. No politics. Pure mechanism design. That’s the endgame.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2026-03-16T12:18:37Z</dcterms:created>
  <dcterms:modified xsi:type="dcterms:W3CDTF">2026-03-16T12:18:37Z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