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vibeswap-protocol"/>
    <w:p>
      <w:pPr>
        <w:pStyle w:val="Heading1"/>
      </w:pPr>
      <w:r>
        <w:t xml:space="preserve">VibeSwap Protocol</w:t>
      </w:r>
    </w:p>
    <w:bookmarkStart w:id="9" w:name="X9953d6779461c6872d7fc53ddb91942473c4eb2"/>
    <w:p>
      <w:pPr>
        <w:pStyle w:val="Heading2"/>
      </w:pPr>
      <w:r>
        <w:t xml:space="preserve">A Cryptographically Fair Trading System for Digital Asset Markets</w:t>
      </w:r>
    </w:p>
    <w:p>
      <w:pPr>
        <w:pStyle w:val="FirstParagraph"/>
      </w:pPr>
      <w:r>
        <w:rPr>
          <w:b/>
          <w:bCs/>
        </w:rPr>
        <w:t xml:space="preserve">Submitted to the U.S. Securities and Exchange Commission</w:t>
      </w:r>
      <w:r>
        <w:t xml:space="preserve"> </w:t>
      </w:r>
      <w:r>
        <w:rPr>
          <w:b/>
          <w:bCs/>
        </w:rPr>
        <w:t xml:space="preserve">Crypto Task Force</w:t>
      </w:r>
    </w:p>
    <w:p>
      <w:pPr>
        <w:pStyle w:val="BodyText"/>
      </w:pPr>
      <w:r>
        <w:t xml:space="preserve">February 2026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6df1de5b22ced9fe778b62f9a22c2947eec89e3">
        <w:r>
          <w:rPr>
            <w:rStyle w:val="Hyperlink"/>
          </w:rPr>
          <w:t xml:space="preserve">Introduction and Problem Statement</w:t>
        </w:r>
      </w:hyperlink>
    </w:p>
    <w:p>
      <w:pPr>
        <w:pStyle w:val="Compact"/>
        <w:numPr>
          <w:ilvl w:val="0"/>
          <w:numId w:val="1001"/>
        </w:numPr>
      </w:pPr>
      <w:hyperlink w:anchor="X73f59172603cba415c6a66174fbdf68db93a032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ilvl w:val="0"/>
          <w:numId w:val="1001"/>
        </w:numPr>
      </w:pPr>
      <w:hyperlink w:anchor="X7a7013bd7c321adb89f3b5066822fb0788212ab">
        <w:r>
          <w:rPr>
            <w:rStyle w:val="Hyperlink"/>
          </w:rPr>
          <w:t xml:space="preserve">Regulatory Compliance Design</w:t>
        </w:r>
      </w:hyperlink>
    </w:p>
    <w:p>
      <w:pPr>
        <w:pStyle w:val="Compact"/>
        <w:numPr>
          <w:ilvl w:val="0"/>
          <w:numId w:val="1001"/>
        </w:numPr>
      </w:pPr>
      <w:hyperlink w:anchor="X649c810f21423cbe2b436faf8d3fa03503d7408">
        <w:r>
          <w:rPr>
            <w:rStyle w:val="Hyperlink"/>
          </w:rPr>
          <w:t xml:space="preserve">Market Integrity Mechanisms</w:t>
        </w:r>
      </w:hyperlink>
    </w:p>
    <w:p>
      <w:pPr>
        <w:pStyle w:val="Compact"/>
        <w:numPr>
          <w:ilvl w:val="0"/>
          <w:numId w:val="1001"/>
        </w:numPr>
      </w:pPr>
      <w:hyperlink w:anchor="X7957153d63123b71ae857fee8868756baa6e97f">
        <w:r>
          <w:rPr>
            <w:rStyle w:val="Hyperlink"/>
          </w:rPr>
          <w:t xml:space="preserve">Settlement and Clearing</w:t>
        </w:r>
      </w:hyperlink>
    </w:p>
    <w:p>
      <w:pPr>
        <w:pStyle w:val="Compact"/>
        <w:numPr>
          <w:ilvl w:val="0"/>
          <w:numId w:val="1001"/>
        </w:numPr>
      </w:pPr>
      <w:hyperlink w:anchor="Xc38694c3140582e38d4d079c02eada3a8083b53">
        <w:r>
          <w:rPr>
            <w:rStyle w:val="Hyperlink"/>
          </w:rPr>
          <w:t xml:space="preserve">Risk Management</w:t>
        </w:r>
      </w:hyperlink>
    </w:p>
    <w:p>
      <w:pPr>
        <w:pStyle w:val="Compact"/>
        <w:numPr>
          <w:ilvl w:val="0"/>
          <w:numId w:val="1001"/>
        </w:numPr>
      </w:pPr>
      <w:hyperlink w:anchor="X13538fe0f687c6a1465eb09e08896a46493efad">
        <w:r>
          <w:rPr>
            <w:rStyle w:val="Hyperlink"/>
          </w:rPr>
          <w:t xml:space="preserve">Transparency and Audit</w:t>
        </w:r>
      </w:hyperlink>
    </w:p>
    <w:p>
      <w:pPr>
        <w:pStyle w:val="Compact"/>
        <w:numPr>
          <w:ilvl w:val="0"/>
          <w:numId w:val="1001"/>
        </w:numPr>
      </w:pPr>
      <w:hyperlink w:anchor="X28fb63265fc1f1f181c8748cffbf82a1062db55">
        <w:r>
          <w:rPr>
            <w:rStyle w:val="Hyperlink"/>
          </w:rPr>
          <w:t xml:space="preserve">Governance and Upgradeability</w:t>
        </w:r>
      </w:hyperlink>
    </w:p>
    <w:p>
      <w:pPr>
        <w:pStyle w:val="Compact"/>
        <w:numPr>
          <w:ilvl w:val="0"/>
          <w:numId w:val="1001"/>
        </w:numPr>
      </w:pPr>
      <w:hyperlink w:anchor="Xb1bcfe16829659403fad758f5dde85d8a8f8f74">
        <w:r>
          <w:rPr>
            <w:rStyle w:val="Hyperlink"/>
          </w:rPr>
          <w:t xml:space="preserve">Request for Regulatory Guidance</w:t>
        </w:r>
      </w:hyperlink>
    </w:p>
    <w:p>
      <w:pPr>
        <w:pStyle w:val="Compact"/>
        <w:numPr>
          <w:ilvl w:val="0"/>
          <w:numId w:val="1001"/>
        </w:numPr>
      </w:pPr>
      <w:hyperlink w:anchor="X261d6f9e0e4ee8186dd98e2029c7ef8cfa788fa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VibeSwap is an open-source trading protocol designed to eliminate Maximal Extractable Value (MEV) exploitation while providing cryptographically guaranteed fair execution for all market participants. The protocol achieves instant atomic settlement (T+0), complete transparency, and mathematical fairness proofs—addressing key challenges in digital asset markets that have been of concern to regulators.</w:t>
      </w:r>
    </w:p>
    <w:bookmarkStart w:id="11" w:name="key-innovations"/>
    <w:p>
      <w:pPr>
        <w:pStyle w:val="Heading3"/>
      </w:pPr>
      <w:r>
        <w:t xml:space="preserve">Key Innovations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Regulatory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Commit-Reveal Auction</w:t>
            </w:r>
          </w:p>
        </w:tc>
        <w:tc>
          <w:tcPr/>
          <w:p>
            <w:pPr>
              <w:pStyle w:val="Compact"/>
            </w:pPr>
            <w:r>
              <w:t xml:space="preserve">Prevents front-running</w:t>
            </w:r>
          </w:p>
        </w:tc>
        <w:tc>
          <w:tcPr/>
          <w:p>
            <w:pPr>
              <w:pStyle w:val="Compact"/>
            </w:pPr>
            <w:r>
              <w:t xml:space="preserve">Market manipulation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Clearing Price</w:t>
            </w:r>
          </w:p>
        </w:tc>
        <w:tc>
          <w:tcPr/>
          <w:p>
            <w:pPr>
              <w:pStyle w:val="Compact"/>
            </w:pPr>
            <w:r>
              <w:t xml:space="preserve">Equal execution for all</w:t>
            </w:r>
          </w:p>
        </w:tc>
        <w:tc>
          <w:tcPr/>
          <w:p>
            <w:pPr>
              <w:pStyle w:val="Compact"/>
            </w:pPr>
            <w:r>
              <w:t xml:space="preserve">Best execution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Settlement</w:t>
            </w:r>
          </w:p>
        </w:tc>
        <w:tc>
          <w:tcPr/>
          <w:p>
            <w:pPr>
              <w:pStyle w:val="Compact"/>
            </w:pPr>
            <w:r>
              <w:t xml:space="preserve">T+0 finality</w:t>
            </w:r>
          </w:p>
        </w:tc>
        <w:tc>
          <w:tcPr/>
          <w:p>
            <w:pPr>
              <w:pStyle w:val="Compact"/>
            </w:pPr>
            <w:r>
              <w:t xml:space="preserve">Exceeds T+1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On-Chain Audit Trail</w:t>
            </w:r>
          </w:p>
        </w:tc>
        <w:tc>
          <w:tcPr/>
          <w:p>
            <w:pPr>
              <w:pStyle w:val="Compact"/>
            </w:pPr>
            <w:r>
              <w:t xml:space="preserve">Complete records</w:t>
            </w:r>
          </w:p>
        </w:tc>
        <w:tc>
          <w:tcPr/>
          <w:p>
            <w:pPr>
              <w:pStyle w:val="Compact"/>
            </w:pPr>
            <w:r>
              <w:t xml:space="preserve">Rule 17a-25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Breakers</w:t>
            </w:r>
          </w:p>
        </w:tc>
        <w:tc>
          <w:tcPr/>
          <w:p>
            <w:pPr>
              <w:pStyle w:val="Compact"/>
            </w:pPr>
            <w:r>
              <w:t xml:space="preserve">Automated halts</w:t>
            </w:r>
          </w:p>
        </w:tc>
        <w:tc>
          <w:tcPr/>
          <w:p>
            <w:pPr>
              <w:pStyle w:val="Compact"/>
            </w:pPr>
            <w:r>
              <w:t xml:space="preserve">Market stability</w:t>
            </w:r>
          </w:p>
        </w:tc>
      </w:tr>
    </w:tbl>
    <w:bookmarkEnd w:id="11"/>
    <w:bookmarkStart w:id="12" w:name="intended-use"/>
    <w:p>
      <w:pPr>
        <w:pStyle w:val="Heading3"/>
      </w:pPr>
      <w:r>
        <w:t xml:space="preserve">Intended Use</w:t>
      </w:r>
    </w:p>
    <w:p>
      <w:pPr>
        <w:pStyle w:val="FirstParagraph"/>
      </w:pPr>
      <w:r>
        <w:t xml:space="preserve">VibeSwap is designed to serve as infrastructure for:</w:t>
      </w:r>
      <w:r>
        <w:t xml:space="preserve"> </w:t>
      </w:r>
      <w:r>
        <w:t xml:space="preserve">1. Registered Alternative Trading Systems (ATSs)</w:t>
      </w:r>
      <w:r>
        <w:t xml:space="preserve"> </w:t>
      </w:r>
      <w:r>
        <w:t xml:space="preserve">2. Compliant digital asset exchanges</w:t>
      </w:r>
      <w:r>
        <w:t xml:space="preserve"> </w:t>
      </w:r>
      <w:r>
        <w:t xml:space="preserve">3. Tokenized securities trading venues</w:t>
      </w:r>
    </w:p>
    <w:p>
      <w:pPr>
        <w:pStyle w:val="BodyText"/>
      </w:pPr>
      <w:r>
        <w:t xml:space="preserve">The protocol provides the execution and settlement layer. Compliance obligations (KYC/AML, investor verification, securities classification) are implemented by frontend operators appropriate to their regulatory status.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introduction-and-problem-statement"/>
    <w:p>
      <w:pPr>
        <w:pStyle w:val="Heading2"/>
      </w:pPr>
      <w:r>
        <w:t xml:space="preserve">2. Introduction and Problem Statement</w:t>
      </w:r>
    </w:p>
    <w:bookmarkStart w:id="14" w:name="the-mev-problem-in-digital-asset-markets"/>
    <w:p>
      <w:pPr>
        <w:pStyle w:val="Heading3"/>
      </w:pPr>
      <w:r>
        <w:t xml:space="preserve">2.1 The MEV Problem in Digital Asset Markets</w:t>
      </w:r>
    </w:p>
    <w:p>
      <w:pPr>
        <w:pStyle w:val="FirstParagraph"/>
      </w:pPr>
      <w:r>
        <w:t xml:space="preserve">Maximal Extractable Value (MEV) represents a significant market integrity concern in blockchain-based trading. MEV occurs when validators or sophisticated actors reorder, insert, or censor transactions to extract value from other market participants.</w:t>
      </w:r>
    </w:p>
    <w:p>
      <w:pPr>
        <w:pStyle w:val="BodyText"/>
      </w:pPr>
      <w:r>
        <w:rPr>
          <w:b/>
          <w:bCs/>
        </w:rPr>
        <w:t xml:space="preserve">Documented MEV Harms</w:t>
      </w:r>
      <w:r>
        <w:t xml:space="preserve">:</w:t>
      </w:r>
      <w:r>
        <w:t xml:space="preserve"> </w:t>
      </w:r>
      <w:r>
        <w:t xml:space="preserve">- Front-running: Detecting pending orders and trading ahead</w:t>
      </w:r>
      <w:r>
        <w:t xml:space="preserve"> </w:t>
      </w:r>
      <w:r>
        <w:t xml:space="preserve">- Sandwich attacks: Surrounding victim trades to extract value</w:t>
      </w:r>
      <w:r>
        <w:t xml:space="preserve"> </w:t>
      </w:r>
      <w:r>
        <w:t xml:space="preserve">- Just-in-time liquidity: Exploiting predictable execution</w:t>
      </w:r>
    </w:p>
    <w:p>
      <w:pPr>
        <w:pStyle w:val="BodyText"/>
      </w:pPr>
      <w:r>
        <w:rPr>
          <w:b/>
          <w:bCs/>
        </w:rPr>
        <w:t xml:space="preserve">Scale</w:t>
      </w:r>
      <w:r>
        <w:t xml:space="preserve">: MEV extraction has exceeded $1 billion cumulatively on Ethereum alone, representing a hidden tax on retail participants.</w:t>
      </w:r>
    </w:p>
    <w:bookmarkEnd w:id="14"/>
    <w:bookmarkStart w:id="15" w:name="current-market-structure-deficiencies"/>
    <w:p>
      <w:pPr>
        <w:pStyle w:val="Heading3"/>
      </w:pPr>
      <w:r>
        <w:t xml:space="preserve">2.2 Current Market Structure Deficiencies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Deficiency</w:t>
            </w:r>
          </w:p>
        </w:tc>
        <w:tc>
          <w:tcPr/>
          <w:p>
            <w:pPr>
              <w:pStyle w:val="Compact"/>
            </w:pPr>
            <w:r>
              <w:t xml:space="preserve">Impact on Investors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 pending orders</w:t>
            </w:r>
          </w:p>
        </w:tc>
        <w:tc>
          <w:tcPr/>
          <w:p>
            <w:pPr>
              <w:pStyle w:val="Compact"/>
            </w:pPr>
            <w:r>
              <w:t xml:space="preserve">Enables front-running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execution prices</w:t>
            </w:r>
          </w:p>
        </w:tc>
        <w:tc>
          <w:tcPr/>
          <w:p>
            <w:pPr>
              <w:pStyle w:val="Compact"/>
            </w:pPr>
            <w:r>
              <w:t xml:space="preserve">Creates information asymmetry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execution</w:t>
            </w:r>
          </w:p>
        </w:tc>
        <w:tc>
          <w:tcPr/>
          <w:p>
            <w:pPr>
              <w:pStyle w:val="Compact"/>
            </w:pPr>
            <w:r>
              <w:t xml:space="preserve">Rewards speed over fairness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Off-chain order books</w:t>
            </w:r>
          </w:p>
        </w:tc>
        <w:tc>
          <w:tcPr/>
          <w:p>
            <w:pPr>
              <w:pStyle w:val="Compact"/>
            </w:pPr>
            <w:r>
              <w:t xml:space="preserve">Opaque matching</w:t>
            </w:r>
          </w:p>
        </w:tc>
      </w:tr>
    </w:tbl>
    <w:bookmarkEnd w:id="15"/>
    <w:bookmarkStart w:id="16" w:name="vibeswaps-solution"/>
    <w:p>
      <w:pPr>
        <w:pStyle w:val="Heading3"/>
      </w:pPr>
      <w:r>
        <w:t xml:space="preserve">2.3 VibeSwap’s Solution</w:t>
      </w:r>
    </w:p>
    <w:p>
      <w:pPr>
        <w:pStyle w:val="FirstParagraph"/>
      </w:pPr>
      <w:r>
        <w:t xml:space="preserve">VibeSwap addresses these deficiencies through cryptographic mechanisms that make exploitation mathematically impossible, not merely prohibited.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technical-architecture"/>
    <w:p>
      <w:pPr>
        <w:pStyle w:val="Heading2"/>
      </w:pPr>
      <w:r>
        <w:t xml:space="preserve">3. Technical Architecture</w:t>
      </w:r>
    </w:p>
    <w:bookmarkStart w:id="18" w:name="system-overview"/>
    <w:p>
      <w:pPr>
        <w:pStyle w:val="Heading3"/>
      </w:pPr>
      <w:r>
        <w:t xml:space="preserve">3.1 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VibeSwap Protocol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│</w:t>
      </w:r>
      <w:r>
        <w:br/>
      </w:r>
      <w:r>
        <w:rPr>
          <w:rStyle w:val="VerbatimChar"/>
        </w:rPr>
        <w:t xml:space="preserve">│  │   Commit     │───▶│   Reveal     │───▶│  Settlement  │   │</w:t>
      </w:r>
      <w:r>
        <w:br/>
      </w:r>
      <w:r>
        <w:rPr>
          <w:rStyle w:val="VerbatimChar"/>
        </w:rPr>
        <w:t xml:space="preserve">│  │   Phase      │    │   Phase      │    │   Phase      │   │</w:t>
      </w:r>
      <w:r>
        <w:br/>
      </w:r>
      <w:r>
        <w:rPr>
          <w:rStyle w:val="VerbatimChar"/>
        </w:rPr>
        <w:t xml:space="preserve">│  │   (8 sec)    │    │   (2 sec)    │    │  (instant)   │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Automated Market Maker (AMM)             │   │</w:t>
      </w:r>
      <w:r>
        <w:br/>
      </w:r>
      <w:r>
        <w:rPr>
          <w:rStyle w:val="VerbatimChar"/>
        </w:rPr>
        <w:t xml:space="preserve">│  │         Constant Product: x × y = k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Security Mechanisms                      │   │</w:t>
      </w:r>
      <w:r>
        <w:br/>
      </w:r>
      <w:r>
        <w:rPr>
          <w:rStyle w:val="VerbatimChar"/>
        </w:rPr>
        <w:t xml:space="preserve">│  │  • Circuit Breakers  • TWAP Validation  • Rate Limits│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8"/>
    <w:bookmarkStart w:id="19" w:name="commit-reveal-mechanism"/>
    <w:p>
      <w:pPr>
        <w:pStyle w:val="Heading3"/>
      </w:pPr>
      <w:r>
        <w:t xml:space="preserve">3.2 Commit-Reveal Mechanism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Prevent order information leakage before execution.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Phase</w:t>
      </w:r>
      <w:r>
        <w:t xml:space="preserve"> </w:t>
      </w:r>
      <w:r>
        <w:t xml:space="preserve">(8 seconds)</w:t>
      </w:r>
    </w:p>
    <w:p>
      <w:pPr>
        <w:pStyle w:val="Compact"/>
        <w:numPr>
          <w:ilvl w:val="1"/>
          <w:numId w:val="1003"/>
        </w:numPr>
      </w:pPr>
      <w:r>
        <w:t xml:space="preserve">User generates secret random value</w:t>
      </w:r>
    </w:p>
    <w:p>
      <w:pPr>
        <w:pStyle w:val="Compact"/>
        <w:numPr>
          <w:ilvl w:val="1"/>
          <w:numId w:val="1003"/>
        </w:numPr>
      </w:pPr>
      <w:r>
        <w:t xml:space="preserve">User computes:</w:t>
      </w:r>
      <w:r>
        <w:t xml:space="preserve"> </w:t>
      </w:r>
      <w:r>
        <w:rPr>
          <w:rStyle w:val="VerbatimChar"/>
        </w:rPr>
        <w:t xml:space="preserve">commitment = hash(order_details || secret)</w:t>
      </w:r>
    </w:p>
    <w:p>
      <w:pPr>
        <w:pStyle w:val="Compact"/>
        <w:numPr>
          <w:ilvl w:val="1"/>
          <w:numId w:val="1003"/>
        </w:numPr>
      </w:pPr>
      <w:r>
        <w:t xml:space="preserve">User submits commitment with collateral deposit</w:t>
      </w:r>
    </w:p>
    <w:p>
      <w:pPr>
        <w:pStyle w:val="Compact"/>
        <w:numPr>
          <w:ilvl w:val="1"/>
          <w:numId w:val="1003"/>
        </w:numPr>
      </w:pPr>
      <w:r>
        <w:t xml:space="preserve">Order details are cryptographically hidden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 Phase</w:t>
      </w:r>
      <w:r>
        <w:t xml:space="preserve"> </w:t>
      </w:r>
      <w:r>
        <w:t xml:space="preserve">(2 seconds)</w:t>
      </w:r>
    </w:p>
    <w:p>
      <w:pPr>
        <w:pStyle w:val="Compact"/>
        <w:numPr>
          <w:ilvl w:val="1"/>
          <w:numId w:val="1004"/>
        </w:numPr>
      </w:pPr>
      <w:r>
        <w:t xml:space="preserve">User reveals order details and secret</w:t>
      </w:r>
    </w:p>
    <w:p>
      <w:pPr>
        <w:pStyle w:val="Compact"/>
        <w:numPr>
          <w:ilvl w:val="1"/>
          <w:numId w:val="1004"/>
        </w:numPr>
      </w:pPr>
      <w:r>
        <w:t xml:space="preserve">Protocol verifies:</w:t>
      </w:r>
      <w:r>
        <w:t xml:space="preserve"> </w:t>
      </w:r>
      <w:r>
        <w:rPr>
          <w:rStyle w:val="VerbatimChar"/>
        </w:rPr>
        <w:t xml:space="preserve">hash(revealed_details || secret) == commitment</w:t>
      </w:r>
    </w:p>
    <w:p>
      <w:pPr>
        <w:pStyle w:val="Compact"/>
        <w:numPr>
          <w:ilvl w:val="1"/>
          <w:numId w:val="1004"/>
        </w:numPr>
      </w:pPr>
      <w:r>
        <w:t xml:space="preserve">Invalid reveals result in 50% deposit forfeiture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Settlement Phase</w:t>
      </w:r>
      <w:r>
        <w:t xml:space="preserve"> </w:t>
      </w:r>
      <w:r>
        <w:t xml:space="preserve">(instant)</w:t>
      </w:r>
    </w:p>
    <w:p>
      <w:pPr>
        <w:pStyle w:val="Compact"/>
        <w:numPr>
          <w:ilvl w:val="1"/>
          <w:numId w:val="1005"/>
        </w:numPr>
      </w:pPr>
      <w:r>
        <w:t xml:space="preserve">All valid orders processed simultaneously</w:t>
      </w:r>
    </w:p>
    <w:p>
      <w:pPr>
        <w:pStyle w:val="Compact"/>
        <w:numPr>
          <w:ilvl w:val="1"/>
          <w:numId w:val="1005"/>
        </w:numPr>
      </w:pPr>
      <w:r>
        <w:t xml:space="preserve">Uniform clearing price calculated</w:t>
      </w:r>
    </w:p>
    <w:p>
      <w:pPr>
        <w:pStyle w:val="Compact"/>
        <w:numPr>
          <w:ilvl w:val="1"/>
          <w:numId w:val="1005"/>
        </w:numPr>
      </w:pPr>
      <w:r>
        <w:t xml:space="preserve">Atomic token transfers executed</w:t>
      </w:r>
    </w:p>
    <w:p>
      <w:pPr>
        <w:pStyle w:val="FirstParagraph"/>
      </w:pPr>
      <w:r>
        <w:rPr>
          <w:b/>
          <w:bCs/>
        </w:rPr>
        <w:t xml:space="preserve">Security Guarantee</w:t>
      </w:r>
      <w:r>
        <w:t xml:space="preserve">: No observer can determine order parameters from the commitment hash due to the cryptographic properties of keccak256.</w:t>
      </w:r>
    </w:p>
    <w:bookmarkEnd w:id="19"/>
    <w:bookmarkStart w:id="20" w:name="uniform-clearing-price"/>
    <w:p>
      <w:pPr>
        <w:pStyle w:val="Heading3"/>
      </w:pPr>
      <w:r>
        <w:t xml:space="preserve">3.3 Uniform Clearing Price</w:t>
      </w:r>
    </w:p>
    <w:p>
      <w:pPr>
        <w:pStyle w:val="FirstParagraph"/>
      </w:pPr>
      <w:r>
        <w:t xml:space="preserve">All orders within a batch execute at a single market-clearing price, determined by:</w:t>
      </w:r>
    </w:p>
    <w:p>
      <w:pPr>
        <w:pStyle w:val="SourceCode"/>
      </w:pPr>
      <w:r>
        <w:rPr>
          <w:rStyle w:val="VerbatimChar"/>
        </w:rPr>
        <w:t xml:space="preserve">Supply(p) = Demand(p)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Supply(p) = sum of sell orders willing to sell at price ≤ p</w:t>
      </w:r>
      <w:r>
        <w:br/>
      </w:r>
      <w:r>
        <w:rPr>
          <w:rStyle w:val="VerbatimChar"/>
        </w:rPr>
        <w:t xml:space="preserve">- Demand(p) = sum of buy orders willing to buy at price ≥ p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No price discrimination between participants</w:t>
      </w:r>
      <w:r>
        <w:t xml:space="preserve"> </w:t>
      </w:r>
      <w:r>
        <w:t xml:space="preserve">- Eliminates execution quality variance</w:t>
      </w:r>
      <w:r>
        <w:t xml:space="preserve"> </w:t>
      </w:r>
      <w:r>
        <w:t xml:space="preserve">- Achieves Pareto-efficient allocation</w:t>
      </w:r>
    </w:p>
    <w:bookmarkEnd w:id="20"/>
    <w:bookmarkStart w:id="21" w:name="deterministic-random-ordering"/>
    <w:p>
      <w:pPr>
        <w:pStyle w:val="Heading3"/>
      </w:pPr>
      <w:r>
        <w:t xml:space="preserve">3.4 Deterministic Random Ordering</w:t>
      </w:r>
    </w:p>
    <w:p>
      <w:pPr>
        <w:pStyle w:val="FirstParagraph"/>
      </w:pPr>
      <w:r>
        <w:t xml:space="preserve">For orders that don’t specify priority, execution order is determined by:</w:t>
      </w:r>
    </w:p>
    <w:p>
      <w:pPr>
        <w:pStyle w:val="Compact"/>
        <w:numPr>
          <w:ilvl w:val="0"/>
          <w:numId w:val="1006"/>
        </w:numPr>
      </w:pPr>
      <w:r>
        <w:t xml:space="preserve">Collecting secrets from all revealed orders</w:t>
      </w:r>
    </w:p>
    <w:p>
      <w:pPr>
        <w:pStyle w:val="Compact"/>
        <w:numPr>
          <w:ilvl w:val="0"/>
          <w:numId w:val="1006"/>
        </w:numPr>
      </w:pPr>
      <w:r>
        <w:t xml:space="preserve">Computing combined seed:</w:t>
      </w:r>
      <w:r>
        <w:t xml:space="preserve"> </w:t>
      </w:r>
      <w:r>
        <w:rPr>
          <w:rStyle w:val="VerbatimChar"/>
        </w:rPr>
        <w:t xml:space="preserve">seed = hash(XOR(all_secrets) || count)</w:t>
      </w:r>
    </w:p>
    <w:p>
      <w:pPr>
        <w:pStyle w:val="Compact"/>
        <w:numPr>
          <w:ilvl w:val="0"/>
          <w:numId w:val="1006"/>
        </w:numPr>
      </w:pPr>
      <w:r>
        <w:t xml:space="preserve">Applying Fisher-Yates shuffle algorithm</w:t>
      </w:r>
    </w:p>
    <w:p>
      <w:pPr>
        <w:pStyle w:val="FirstParagraph"/>
      </w:pPr>
      <w:r>
        <w:rPr>
          <w:b/>
          <w:bCs/>
        </w:rPr>
        <w:t xml:space="preserve">Mathematical Guarantee</w:t>
      </w:r>
      <w:r>
        <w:t xml:space="preserve">: Each permutation has equal probability 1/n!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egulatory-compliance-design"/>
    <w:p>
      <w:pPr>
        <w:pStyle w:val="Heading2"/>
      </w:pPr>
      <w:r>
        <w:t xml:space="preserve">4. Regulatory Compliance Design</w:t>
      </w:r>
    </w:p>
    <w:bookmarkStart w:id="23" w:name="alignment-with-regulation-ats"/>
    <w:p>
      <w:pPr>
        <w:pStyle w:val="Heading3"/>
      </w:pPr>
      <w:r>
        <w:t xml:space="preserve">4.1 Alignment with Regulation ATS</w:t>
      </w:r>
    </w:p>
    <w:p>
      <w:pPr>
        <w:pStyle w:val="FirstParagraph"/>
      </w:pPr>
      <w:r>
        <w:t xml:space="preserve">VibeSwap is designed to support ATS registration under Rules 300-303: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ATS Requirement</w:t>
            </w:r>
          </w:p>
        </w:tc>
        <w:tc>
          <w:tcPr/>
          <w:p>
            <w:pPr>
              <w:pStyle w:val="Compact"/>
            </w:pPr>
            <w:r>
              <w:t xml:space="preserve">VibeSwap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access</w:t>
            </w:r>
          </w:p>
        </w:tc>
        <w:tc>
          <w:tcPr/>
          <w:p>
            <w:pPr>
              <w:pStyle w:val="Compact"/>
            </w:pPr>
            <w:r>
              <w:t xml:space="preserve">Permissionless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transparency</w:t>
            </w:r>
          </w:p>
        </w:tc>
        <w:tc>
          <w:tcPr/>
          <w:p>
            <w:pPr>
              <w:pStyle w:val="Compact"/>
            </w:pPr>
            <w:r>
              <w:t xml:space="preserve">Open-source,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display</w:t>
            </w:r>
          </w:p>
        </w:tc>
        <w:tc>
          <w:tcPr/>
          <w:p>
            <w:pPr>
              <w:pStyle w:val="Compact"/>
            </w:pPr>
            <w:r>
              <w:t xml:space="preserve">Aggregated after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limits</w:t>
            </w:r>
          </w:p>
        </w:tc>
        <w:tc>
          <w:tcPr/>
          <w:p>
            <w:pPr>
              <w:pStyle w:val="Compact"/>
            </w:pPr>
            <w:r>
              <w:t xml:space="preserve">Configurable per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Recordkeeping</w:t>
            </w:r>
          </w:p>
        </w:tc>
        <w:tc>
          <w:tcPr/>
          <w:p>
            <w:pPr>
              <w:pStyle w:val="Compact"/>
            </w:pPr>
            <w:r>
              <w:t xml:space="preserve">Immutable blockchain records</w:t>
            </w:r>
          </w:p>
        </w:tc>
      </w:tr>
    </w:tbl>
    <w:bookmarkEnd w:id="23"/>
    <w:bookmarkStart w:id="24" w:name="best-execution-framework"/>
    <w:p>
      <w:pPr>
        <w:pStyle w:val="Heading3"/>
      </w:pPr>
      <w:r>
        <w:t xml:space="preserve">4.2 Best Execution Framework</w:t>
      </w:r>
    </w:p>
    <w:p>
      <w:pPr>
        <w:pStyle w:val="FirstParagraph"/>
      </w:pPr>
      <w:r>
        <w:t xml:space="preserve">The uniform clearing price mechanism inherently achieves best execution:</w:t>
      </w:r>
    </w:p>
    <w:p>
      <w:pPr>
        <w:pStyle w:val="SourceCode"/>
      </w:pPr>
      <w:r>
        <w:rPr>
          <w:rStyle w:val="VerbatimChar"/>
        </w:rPr>
        <w:t xml:space="preserve">Theorem: All participants receive the market-clearing price,</w:t>
      </w:r>
      <w:r>
        <w:br/>
      </w:r>
      <w:r>
        <w:rPr>
          <w:rStyle w:val="VerbatimChar"/>
        </w:rPr>
        <w:t xml:space="preserve">which is Pareto efficient.</w:t>
      </w:r>
      <w:r>
        <w:br/>
      </w:r>
      <w:r>
        <w:br/>
      </w:r>
      <w:r>
        <w:rPr>
          <w:rStyle w:val="VerbatimChar"/>
        </w:rPr>
        <w:t xml:space="preserve">Proof: At clearing price p*, Supply(p*) = Demand(p*).</w:t>
      </w:r>
      <w:r>
        <w:br/>
      </w:r>
      <w:r>
        <w:rPr>
          <w:rStyle w:val="VerbatimChar"/>
        </w:rPr>
        <w:t xml:space="preserve">No participant can improve their outcome without</w:t>
      </w:r>
      <w:r>
        <w:br/>
      </w:r>
      <w:r>
        <w:rPr>
          <w:rStyle w:val="VerbatimChar"/>
        </w:rPr>
        <w:t xml:space="preserve">making another participant worse off. ∎</w:t>
      </w:r>
    </w:p>
    <w:bookmarkEnd w:id="24"/>
    <w:bookmarkStart w:id="25" w:name="form-ats-disclosures"/>
    <w:p>
      <w:pPr>
        <w:pStyle w:val="Heading3"/>
      </w:pPr>
      <w:r>
        <w:t xml:space="preserve">4.3 Form ATS Disclosures</w:t>
      </w:r>
    </w:p>
    <w:p>
      <w:pPr>
        <w:pStyle w:val="FirstParagraph"/>
      </w:pPr>
      <w:r>
        <w:t xml:space="preserve">The following information is available for Form ATS filing: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Disclosure Category</w:t>
            </w:r>
          </w:p>
        </w:tc>
        <w:tc>
          <w:tcPr/>
          <w:p>
            <w:pPr>
              <w:pStyle w:val="Compact"/>
            </w:pPr>
            <w:r>
              <w:t xml:space="preserve">VibeSwap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Subscribers</w:t>
            </w:r>
          </w:p>
        </w:tc>
        <w:tc>
          <w:tcPr/>
          <w:p>
            <w:pPr>
              <w:pStyle w:val="Compact"/>
            </w:pPr>
            <w:r>
              <w:t xml:space="preserve">Open to all (frontend may restrict)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types</w:t>
            </w:r>
          </w:p>
        </w:tc>
        <w:tc>
          <w:tcPr/>
          <w:p>
            <w:pPr>
              <w:pStyle w:val="Compact"/>
            </w:pPr>
            <w:r>
              <w:t xml:space="preserve">Market with slippage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 methodology</w:t>
            </w:r>
          </w:p>
        </w:tc>
        <w:tc>
          <w:tcPr/>
          <w:p>
            <w:pPr>
              <w:pStyle w:val="Compact"/>
            </w:pPr>
            <w:r>
              <w:t xml:space="preserve">Uniform clearing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hours</w:t>
            </w:r>
          </w:p>
        </w:tc>
        <w:tc>
          <w:tcPr/>
          <w:p>
            <w:pPr>
              <w:pStyle w:val="Compact"/>
            </w:pPr>
            <w:r>
              <w:t xml:space="preserve">Continuous (24/7/365)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schedule</w:t>
            </w:r>
          </w:p>
        </w:tc>
        <w:tc>
          <w:tcPr/>
          <w:p>
            <w:pPr>
              <w:pStyle w:val="Compact"/>
            </w:pPr>
            <w:r>
              <w:t xml:space="preserve">0.30% base, 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mechanism</w:t>
            </w:r>
          </w:p>
        </w:tc>
        <w:tc>
          <w:tcPr/>
          <w:p>
            <w:pPr>
              <w:pStyle w:val="Compact"/>
            </w:pPr>
            <w:r>
              <w:t xml:space="preserve">Optional auction (disclosed)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market-integrity-mechanisms"/>
    <w:p>
      <w:pPr>
        <w:pStyle w:val="Heading2"/>
      </w:pPr>
      <w:r>
        <w:t xml:space="preserve">5. Market Integrity Mechanisms</w:t>
      </w:r>
    </w:p>
    <w:bookmarkStart w:id="27" w:name="manipulation-prevention"/>
    <w:p>
      <w:pPr>
        <w:pStyle w:val="Heading3"/>
      </w:pPr>
      <w:r>
        <w:t xml:space="preserve">5.1 Manipulation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Manipulation Type</w:t>
            </w:r>
          </w:p>
        </w:tc>
        <w:tc>
          <w:tcPr/>
          <w:p>
            <w:pPr>
              <w:pStyle w:val="Compact"/>
            </w:pPr>
            <w:r>
              <w:t xml:space="preserve">Prevention Mechanism</w:t>
            </w:r>
          </w:p>
        </w:tc>
        <w:tc>
          <w:tcPr/>
          <w:p>
            <w:pPr>
              <w:pStyle w:val="Compact"/>
            </w:pPr>
            <w:r>
              <w:t xml:space="preserve">Guarantee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Front-running</w:t>
            </w:r>
          </w:p>
        </w:tc>
        <w:tc>
          <w:tcPr/>
          <w:p>
            <w:pPr>
              <w:pStyle w:val="Compact"/>
            </w:pPr>
            <w:r>
              <w:t xml:space="preserve">Commit-reveal hiding</w:t>
            </w:r>
          </w:p>
        </w:tc>
        <w:tc>
          <w:tcPr/>
          <w:p>
            <w:pPr>
              <w:pStyle w:val="Compact"/>
            </w:pPr>
            <w:r>
              <w:t xml:space="preserve">Cryptographic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 trading</w:t>
            </w:r>
          </w:p>
        </w:tc>
        <w:tc>
          <w:tcPr/>
          <w:p>
            <w:pPr>
              <w:pStyle w:val="Compact"/>
            </w:pPr>
            <w:r>
              <w:t xml:space="preserve">Uniform price (no profit motive)</w:t>
            </w:r>
          </w:p>
        </w:tc>
        <w:tc>
          <w:tcPr/>
          <w:p>
            <w:pPr>
              <w:pStyle w:val="Compact"/>
            </w:pPr>
            <w:r>
              <w:t xml:space="preserve">Economic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Forfeiture for non-reveal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Layering</w:t>
            </w:r>
          </w:p>
        </w:tc>
        <w:tc>
          <w:tcPr/>
          <w:p>
            <w:pPr>
              <w:pStyle w:val="Compact"/>
            </w:pPr>
            <w:r>
              <w:t xml:space="preserve">Single order per commit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stuffing</w:t>
            </w:r>
          </w:p>
        </w:tc>
        <w:tc>
          <w:tcPr/>
          <w:p>
            <w:pPr>
              <w:pStyle w:val="Compact"/>
            </w:pPr>
            <w:r>
              <w:t xml:space="preserve">Gas costs + batch limits</w:t>
            </w:r>
          </w:p>
        </w:tc>
        <w:tc>
          <w:tcPr/>
          <w:p>
            <w:pPr>
              <w:pStyle w:val="Compact"/>
            </w:pPr>
            <w:r>
              <w:t xml:space="preserve">Economic</w:t>
            </w:r>
          </w:p>
        </w:tc>
      </w:tr>
    </w:tbl>
    <w:bookmarkEnd w:id="27"/>
    <w:bookmarkStart w:id="28" w:name="circuit-breakers"/>
    <w:p>
      <w:pPr>
        <w:pStyle w:val="Heading3"/>
      </w:pPr>
      <w:r>
        <w:t xml:space="preserve">5.2 Circuit Breakers</w:t>
      </w:r>
    </w:p>
    <w:p>
      <w:pPr>
        <w:pStyle w:val="FirstParagraph"/>
      </w:pPr>
      <w:r>
        <w:t xml:space="preserve">Automated trading halts trigger when thresholds are exceeded: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Breaker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Cooldown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$10M / hour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50% deviation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Withdrawal</w:t>
            </w:r>
          </w:p>
        </w:tc>
        <w:tc>
          <w:tcPr/>
          <w:p>
            <w:pPr>
              <w:pStyle w:val="Compact"/>
            </w:pPr>
            <w:r>
              <w:t xml:space="preserve">25% TVL / hour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</w:tbl>
    <w:bookmarkEnd w:id="28"/>
    <w:bookmarkStart w:id="29" w:name="price-manipulation-detection"/>
    <w:p>
      <w:pPr>
        <w:pStyle w:val="Heading3"/>
      </w:pPr>
      <w:r>
        <w:t xml:space="preserve">5.3 Price Manipulation Detection</w:t>
      </w:r>
    </w:p>
    <w:p>
      <w:pPr>
        <w:pStyle w:val="FirstParagraph"/>
      </w:pPr>
      <w:r>
        <w:t xml:space="preserve">Time-Weighted Average Price (TWAP) validation prevents price manipulation:</w:t>
      </w:r>
    </w:p>
    <w:p>
      <w:pPr>
        <w:pStyle w:val="SourceCode"/>
      </w:pPr>
      <w:r>
        <w:rPr>
          <w:rStyle w:val="VerbatimChar"/>
        </w:rPr>
        <w:t xml:space="preserve">if |spot_price - TWAP| &gt; 5%:</w:t>
      </w:r>
      <w:r>
        <w:br/>
      </w:r>
      <w:r>
        <w:rPr>
          <w:rStyle w:val="VerbatimChar"/>
        </w:rPr>
        <w:t xml:space="preserve">    revert("Price deviation too high")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ttlement-and-clearing"/>
    <w:p>
      <w:pPr>
        <w:pStyle w:val="Heading2"/>
      </w:pPr>
      <w:r>
        <w:t xml:space="preserve">6. Settlement and Clearing</w:t>
      </w:r>
    </w:p>
    <w:bookmarkStart w:id="31" w:name="atomic-settlement-t0"/>
    <w:p>
      <w:pPr>
        <w:pStyle w:val="Heading3"/>
      </w:pPr>
      <w:r>
        <w:t xml:space="preserve">6.1 Atomic Settlement (T+0)</w:t>
      </w:r>
    </w:p>
    <w:p>
      <w:pPr>
        <w:pStyle w:val="FirstParagraph"/>
      </w:pPr>
      <w:r>
        <w:t xml:space="preserve">VibeSwap provides instant, atomic settlement:</w:t>
      </w:r>
    </w:p>
    <w:p>
      <w:pPr>
        <w:pStyle w:val="SourceCode"/>
      </w:pPr>
      <w:r>
        <w:rPr>
          <w:rStyle w:val="VerbatimChar"/>
        </w:rPr>
        <w:t xml:space="preserve">Settlement Properties:</w:t>
      </w:r>
      <w:r>
        <w:br/>
      </w:r>
      <w:r>
        <w:rPr>
          <w:rStyle w:val="VerbatimChar"/>
        </w:rPr>
        <w:t xml:space="preserve">├── Finality: Immediate (same block)</w:t>
      </w:r>
      <w:r>
        <w:br/>
      </w:r>
      <w:r>
        <w:rPr>
          <w:rStyle w:val="VerbatimChar"/>
        </w:rPr>
        <w:t xml:space="preserve">├── Reversibility: None (blockchain immutable)</w:t>
      </w:r>
      <w:r>
        <w:br/>
      </w:r>
      <w:r>
        <w:rPr>
          <w:rStyle w:val="VerbatimChar"/>
        </w:rPr>
        <w:t xml:space="preserve">├── Counterparty risk: Zero (atomic swap)</w:t>
      </w:r>
      <w:r>
        <w:br/>
      </w:r>
      <w:r>
        <w:rPr>
          <w:rStyle w:val="VerbatimChar"/>
        </w:rPr>
        <w:t xml:space="preserve">├── Failed trades: Impossible</w:t>
      </w:r>
      <w:r>
        <w:br/>
      </w:r>
      <w:r>
        <w:rPr>
          <w:rStyle w:val="VerbatimChar"/>
        </w:rPr>
        <w:t xml:space="preserve">└── Reconciliation: Not required</w:t>
      </w:r>
    </w:p>
    <w:p>
      <w:pPr>
        <w:pStyle w:val="FirstParagraph"/>
      </w:pPr>
      <w:r>
        <w:rPr>
          <w:b/>
          <w:bCs/>
        </w:rPr>
        <w:t xml:space="preserve">Comparison to Traditional Settlement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T+1 (Traditional)</w:t>
            </w:r>
          </w:p>
        </w:tc>
        <w:tc>
          <w:tcPr/>
          <w:p>
            <w:pPr>
              <w:pStyle w:val="Compact"/>
            </w:pPr>
            <w:r>
              <w:t xml:space="preserve">T+0 (VibeSwap)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time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~10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Counterparty exposure</w:t>
            </w:r>
          </w:p>
        </w:tc>
        <w:tc>
          <w:tcPr/>
          <w:p>
            <w:pPr>
              <w:pStyle w:val="Compact"/>
            </w:pPr>
            <w:r>
              <w:t xml:space="preserve">24+ hours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rate</w:t>
            </w:r>
          </w:p>
        </w:tc>
        <w:tc>
          <w:tcPr/>
          <w:p>
            <w:pPr>
              <w:pStyle w:val="Compact"/>
            </w:pPr>
            <w:r>
              <w:t xml:space="preserve">~2% industry avg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efficiency</w:t>
            </w:r>
          </w:p>
        </w:tc>
        <w:tc>
          <w:tcPr/>
          <w:p>
            <w:pPr>
              <w:pStyle w:val="Compact"/>
            </w:pPr>
            <w:r>
              <w:t xml:space="preserve">Reduced</w:t>
            </w:r>
          </w:p>
        </w:tc>
        <w:tc>
          <w:tcPr/>
          <w:p>
            <w:pPr>
              <w:pStyle w:val="Compact"/>
            </w:pPr>
            <w:r>
              <w:t xml:space="preserve">Maximized</w:t>
            </w:r>
          </w:p>
        </w:tc>
      </w:tr>
    </w:tbl>
    <w:bookmarkEnd w:id="31"/>
    <w:bookmarkStart w:id="32" w:name="clearing-mechanism"/>
    <w:p>
      <w:pPr>
        <w:pStyle w:val="Heading3"/>
      </w:pPr>
      <w:r>
        <w:t xml:space="preserve">6.2 Clearing Mechanism</w:t>
      </w:r>
    </w:p>
    <w:p>
      <w:pPr>
        <w:pStyle w:val="FirstParagraph"/>
      </w:pPr>
      <w:r>
        <w:t xml:space="preserve">No separate clearing agency is required because: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Pre-funding</w:t>
      </w:r>
      <w:r>
        <w:t xml:space="preserve">: All orders require upfront collateral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Atomic execution</w:t>
      </w:r>
      <w:r>
        <w:t xml:space="preserve">: Trade and settlement are indivisible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netting</w:t>
      </w:r>
      <w:r>
        <w:t xml:space="preserve">: Gross settlement per transaction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Guaranteed delivery</w:t>
      </w:r>
      <w:r>
        <w:t xml:space="preserve">: Smart contract enforcement</w:t>
      </w:r>
    </w:p>
    <w:bookmarkEnd w:id="32"/>
    <w:bookmarkStart w:id="33" w:name="custody-model"/>
    <w:p>
      <w:pPr>
        <w:pStyle w:val="Heading3"/>
      </w:pPr>
      <w:r>
        <w:t xml:space="preserve">6.3 Custody Model</w:t>
      </w:r>
    </w:p>
    <w:p>
      <w:pPr>
        <w:pStyle w:val="SourceCode"/>
      </w:pPr>
      <w:r>
        <w:rPr>
          <w:rStyle w:val="VerbatimChar"/>
        </w:rPr>
        <w:t xml:space="preserve">User Assets → Smart Contract Escrow → Execution → User Wallets</w:t>
      </w:r>
      <w:r>
        <w:br/>
      </w:r>
      <w:r>
        <w:rPr>
          <w:rStyle w:val="VerbatimChar"/>
        </w:rPr>
        <w:t xml:space="preserve">     │                │                    │            │</w:t>
      </w:r>
      <w:r>
        <w:br/>
      </w:r>
      <w:r>
        <w:rPr>
          <w:rStyle w:val="VerbatimChar"/>
        </w:rPr>
        <w:t xml:space="preserve">     └── User control ─┴── Protocol custody ─┴── User control</w:t>
      </w:r>
    </w:p>
    <w:p>
      <w:pPr>
        <w:pStyle w:val="Compact"/>
        <w:numPr>
          <w:ilvl w:val="0"/>
          <w:numId w:val="1008"/>
        </w:numPr>
      </w:pPr>
      <w:r>
        <w:t xml:space="preserve">Users maintain custody except during execution window</w:t>
      </w:r>
    </w:p>
    <w:p>
      <w:pPr>
        <w:pStyle w:val="Compact"/>
        <w:numPr>
          <w:ilvl w:val="0"/>
          <w:numId w:val="1008"/>
        </w:numPr>
      </w:pPr>
      <w:r>
        <w:t xml:space="preserve">Smart contracts are non-custodial (user-initiated)</w:t>
      </w:r>
    </w:p>
    <w:p>
      <w:pPr>
        <w:pStyle w:val="Compact"/>
        <w:numPr>
          <w:ilvl w:val="0"/>
          <w:numId w:val="1008"/>
        </w:numPr>
      </w:pPr>
      <w:r>
        <w:t xml:space="preserve">Protocol cannot unilaterally move user funds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isk-management"/>
    <w:p>
      <w:pPr>
        <w:pStyle w:val="Heading2"/>
      </w:pPr>
      <w:r>
        <w:t xml:space="preserve">7. Risk Management</w:t>
      </w:r>
    </w:p>
    <w:bookmarkStart w:id="35" w:name="protocol-level-safeguards"/>
    <w:p>
      <w:pPr>
        <w:pStyle w:val="Heading3"/>
      </w:pPr>
      <w:r>
        <w:t xml:space="preserve">7.1 Protocol-Level Safeguards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 bugs</w:t>
            </w:r>
          </w:p>
        </w:tc>
        <w:tc>
          <w:tcPr/>
          <w:p>
            <w:pPr>
              <w:pStyle w:val="Compact"/>
            </w:pPr>
            <w:r>
              <w:t xml:space="preserve">Formal verification,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manipulation</w:t>
            </w:r>
          </w:p>
        </w:tc>
        <w:tc>
          <w:tcPr/>
          <w:p>
            <w:pPr>
              <w:pStyle w:val="Compact"/>
            </w:pPr>
            <w:r>
              <w:t xml:space="preserve">Multiple price sources, TWAP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loan attacks</w:t>
            </w:r>
          </w:p>
        </w:tc>
        <w:tc>
          <w:tcPr/>
          <w:p>
            <w:pPr>
              <w:pStyle w:val="Compact"/>
            </w:pPr>
            <w:r>
              <w:t xml:space="preserve">Same-block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attacks</w:t>
            </w:r>
          </w:p>
        </w:tc>
        <w:tc>
          <w:tcPr/>
          <w:p>
            <w:pPr>
              <w:pStyle w:val="Compact"/>
            </w:pPr>
            <w:r>
              <w:t xml:space="preserve">Minimum liquidity,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attacks</w:t>
            </w:r>
          </w:p>
        </w:tc>
        <w:tc>
          <w:tcPr/>
          <w:p>
            <w:pPr>
              <w:pStyle w:val="Compact"/>
            </w:pPr>
            <w:r>
              <w:t xml:space="preserve">Timelock, multisig</w:t>
            </w:r>
          </w:p>
        </w:tc>
      </w:tr>
    </w:tbl>
    <w:bookmarkEnd w:id="35"/>
    <w:bookmarkStart w:id="36" w:name="user-protections"/>
    <w:p>
      <w:pPr>
        <w:pStyle w:val="Heading3"/>
      </w:pPr>
      <w:r>
        <w:t xml:space="preserve">7.2 User Protections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Slippage limits</w:t>
            </w:r>
          </w:p>
        </w:tc>
        <w:tc>
          <w:tcPr/>
          <w:p>
            <w:pPr>
              <w:pStyle w:val="Compact"/>
            </w:pPr>
            <w:r>
              <w:t xml:space="preserve">User-specified minAmountOut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 security</w:t>
            </w:r>
          </w:p>
        </w:tc>
        <w:tc>
          <w:tcPr/>
          <w:p>
            <w:pPr>
              <w:pStyle w:val="Compact"/>
            </w:pPr>
            <w:r>
              <w:t xml:space="preserve">Cryptographic 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guarantee</w:t>
            </w:r>
          </w:p>
        </w:tc>
        <w:tc>
          <w:tcPr/>
          <w:p>
            <w:pPr>
              <w:pStyle w:val="Compact"/>
            </w:pPr>
            <w:r>
              <w:t xml:space="preserve">Atomic or refund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On-chain verification</w:t>
            </w:r>
          </w:p>
        </w:tc>
      </w:tr>
    </w:tbl>
    <w:bookmarkEnd w:id="36"/>
    <w:bookmarkStart w:id="37" w:name="systemic-risk-considerations"/>
    <w:p>
      <w:pPr>
        <w:pStyle w:val="Heading3"/>
      </w:pPr>
      <w:r>
        <w:t xml:space="preserve">7.3 Systemic Risk Considerations</w:t>
      </w:r>
    </w:p>
    <w:p>
      <w:pPr>
        <w:pStyle w:val="Compact"/>
        <w:numPr>
          <w:ilvl w:val="0"/>
          <w:numId w:val="1009"/>
        </w:numPr>
      </w:pPr>
      <w:r>
        <w:t xml:space="preserve">Protocol is isolated (no cross-margin, no leverage)</w:t>
      </w:r>
    </w:p>
    <w:p>
      <w:pPr>
        <w:pStyle w:val="Compact"/>
        <w:numPr>
          <w:ilvl w:val="0"/>
          <w:numId w:val="1009"/>
        </w:numPr>
      </w:pPr>
      <w:r>
        <w:t xml:space="preserve">Liquidity pools are independent (no contagion)</w:t>
      </w:r>
    </w:p>
    <w:p>
      <w:pPr>
        <w:pStyle w:val="Compact"/>
        <w:numPr>
          <w:ilvl w:val="0"/>
          <w:numId w:val="1009"/>
        </w:numPr>
      </w:pPr>
      <w:r>
        <w:t xml:space="preserve">No hidden liabilities (fully collateralized)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ransparency-and-audit"/>
    <w:p>
      <w:pPr>
        <w:pStyle w:val="Heading2"/>
      </w:pPr>
      <w:r>
        <w:t xml:space="preserve">8. Transparency and Audit</w:t>
      </w:r>
    </w:p>
    <w:bookmarkStart w:id="39" w:name="on-chain-records"/>
    <w:p>
      <w:pPr>
        <w:pStyle w:val="Heading3"/>
      </w:pPr>
      <w:r>
        <w:t xml:space="preserve">8.1 On-Chain Records</w:t>
      </w:r>
    </w:p>
    <w:p>
      <w:pPr>
        <w:pStyle w:val="FirstParagraph"/>
      </w:pPr>
      <w:r>
        <w:t xml:space="preserve">All trading activity is recorded on-chain:</w:t>
      </w:r>
    </w:p>
    <w:p>
      <w:pPr>
        <w:pStyle w:val="SourceCode"/>
      </w:pPr>
      <w:r>
        <w:rPr>
          <w:rStyle w:val="VerbatimChar"/>
        </w:rPr>
        <w:t xml:space="preserve">// Immutable audit trail</w:t>
      </w:r>
      <w:r>
        <w:br/>
      </w:r>
      <w:r>
        <w:rPr>
          <w:rStyle w:val="VerbatimChar"/>
        </w:rPr>
        <w:t xml:space="preserve">event OrderCommitted(commitId, trader, batchId, timestamp);</w:t>
      </w:r>
      <w:r>
        <w:br/>
      </w:r>
      <w:r>
        <w:rPr>
          <w:rStyle w:val="VerbatimChar"/>
        </w:rPr>
        <w:t xml:space="preserve">event OrderRevealed(commitId, trader, tokens, amounts);</w:t>
      </w:r>
      <w:r>
        <w:br/>
      </w:r>
      <w:r>
        <w:rPr>
          <w:rStyle w:val="VerbatimChar"/>
        </w:rPr>
        <w:t xml:space="preserve">event BatchSettled(batchId, clearingPrice, orderCount);</w:t>
      </w:r>
      <w:r>
        <w:br/>
      </w:r>
      <w:r>
        <w:rPr>
          <w:rStyle w:val="VerbatimChar"/>
        </w:rPr>
        <w:t xml:space="preserve">event SwapExecuted(poolId, trader, tokens, amounts);</w:t>
      </w:r>
    </w:p>
    <w:bookmarkEnd w:id="39"/>
    <w:bookmarkStart w:id="40" w:name="data-availability"/>
    <w:p>
      <w:pPr>
        <w:pStyle w:val="Heading3"/>
      </w:pPr>
      <w:r>
        <w:t xml:space="preserve">8.2 Data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commitments</w:t>
            </w:r>
          </w:p>
        </w:tc>
        <w:tc>
          <w:tcPr/>
          <w:p>
            <w:pPr>
              <w:pStyle w:val="Compact"/>
            </w:pPr>
            <w:r>
              <w:t xml:space="preserve">Public blockchain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Revealed orders</w:t>
            </w:r>
          </w:p>
        </w:tc>
        <w:tc>
          <w:tcPr/>
          <w:p>
            <w:pPr>
              <w:pStyle w:val="Compact"/>
            </w:pPr>
            <w:r>
              <w:t xml:space="preserve">Public blockchain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prices</w:t>
            </w:r>
          </w:p>
        </w:tc>
        <w:tc>
          <w:tcPr/>
          <w:p>
            <w:pPr>
              <w:pStyle w:val="Compact"/>
            </w:pPr>
            <w:r>
              <w:t xml:space="preserve">Public blockchain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records</w:t>
            </w:r>
          </w:p>
        </w:tc>
        <w:tc>
          <w:tcPr/>
          <w:p>
            <w:pPr>
              <w:pStyle w:val="Compact"/>
            </w:pPr>
            <w:r>
              <w:t xml:space="preserve">Public blockchain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</w:tbl>
    <w:bookmarkEnd w:id="40"/>
    <w:bookmarkStart w:id="41" w:name="audit-capabilities"/>
    <w:p>
      <w:pPr>
        <w:pStyle w:val="Heading3"/>
      </w:pPr>
      <w:r>
        <w:t xml:space="preserve">8.3 Audit Capabilities</w:t>
      </w:r>
    </w:p>
    <w:p>
      <w:pPr>
        <w:pStyle w:val="FirstParagraph"/>
      </w:pPr>
      <w:r>
        <w:t xml:space="preserve">Regulators and auditors can:</w:t>
      </w:r>
      <w:r>
        <w:t xml:space="preserve"> </w:t>
      </w:r>
      <w:r>
        <w:t xml:space="preserve">1. Query any historical transaction</w:t>
      </w:r>
      <w:r>
        <w:t xml:space="preserve"> </w:t>
      </w:r>
      <w:r>
        <w:t xml:space="preserve">2. Verify execution prices independently</w:t>
      </w:r>
      <w:r>
        <w:t xml:space="preserve"> </w:t>
      </w:r>
      <w:r>
        <w:t xml:space="preserve">3. Reconstruct order flow</w:t>
      </w:r>
      <w:r>
        <w:t xml:space="preserve"> </w:t>
      </w:r>
      <w:r>
        <w:t xml:space="preserve">4. Validate fee calculations</w:t>
      </w:r>
      <w:r>
        <w:t xml:space="preserve"> </w:t>
      </w:r>
      <w:r>
        <w:t xml:space="preserve">5. Monitor in real-time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governance-and-upgradeability"/>
    <w:p>
      <w:pPr>
        <w:pStyle w:val="Heading2"/>
      </w:pPr>
      <w:r>
        <w:t xml:space="preserve">9. Governance and Upgradeability</w:t>
      </w:r>
    </w:p>
    <w:bookmarkStart w:id="43" w:name="upgrade-mechanism"/>
    <w:p>
      <w:pPr>
        <w:pStyle w:val="Heading3"/>
      </w:pPr>
      <w:r>
        <w:t xml:space="preserve">9.1 Upgrade Mechanism</w:t>
      </w:r>
    </w:p>
    <w:p>
      <w:pPr>
        <w:pStyle w:val="FirstParagraph"/>
      </w:pPr>
      <w:r>
        <w:t xml:space="preserve">The protocol uses UUPS (Universal Upgradeable Proxy Standard):</w:t>
      </w:r>
    </w:p>
    <w:p>
      <w:pPr>
        <w:pStyle w:val="Compact"/>
        <w:numPr>
          <w:ilvl w:val="0"/>
          <w:numId w:val="1010"/>
        </w:numPr>
      </w:pPr>
      <w:r>
        <w:t xml:space="preserve">Upgrades require governance approval</w:t>
      </w:r>
    </w:p>
    <w:p>
      <w:pPr>
        <w:pStyle w:val="Compact"/>
        <w:numPr>
          <w:ilvl w:val="0"/>
          <w:numId w:val="1010"/>
        </w:numPr>
      </w:pPr>
      <w:r>
        <w:t xml:space="preserve">Mandatory timelock period before activation</w:t>
      </w:r>
    </w:p>
    <w:p>
      <w:pPr>
        <w:pStyle w:val="Compact"/>
        <w:numPr>
          <w:ilvl w:val="0"/>
          <w:numId w:val="1010"/>
        </w:numPr>
      </w:pPr>
      <w:r>
        <w:t xml:space="preserve">Users can exit before upgrades take effect</w:t>
      </w:r>
    </w:p>
    <w:bookmarkEnd w:id="43"/>
    <w:bookmarkStart w:id="44" w:name="parameter-governance"/>
    <w:p>
      <w:pPr>
        <w:pStyle w:val="Heading3"/>
      </w:pPr>
      <w:r>
        <w:t xml:space="preserve">9.2 Parameter Governance</w:t>
      </w:r>
    </w:p>
    <w:p>
      <w:pPr>
        <w:pStyle w:val="FirstParagraph"/>
      </w:pPr>
      <w:r>
        <w:t xml:space="preserve">Adjustable parameters (subject to governance):</w:t>
      </w:r>
      <w:r>
        <w:t xml:space="preserve"> </w:t>
      </w:r>
      <w:r>
        <w:t xml:space="preserve">- Fee rates</w:t>
      </w:r>
      <w:r>
        <w:t xml:space="preserve"> </w:t>
      </w:r>
      <w:r>
        <w:t xml:space="preserve">- Circuit breaker thresholds</w:t>
      </w:r>
      <w:r>
        <w:t xml:space="preserve"> </w:t>
      </w:r>
      <w:r>
        <w:t xml:space="preserve">- Batch timing</w:t>
      </w:r>
      <w:r>
        <w:t xml:space="preserve"> </w:t>
      </w:r>
      <w:r>
        <w:t xml:space="preserve">- Maximum trade sizes</w:t>
      </w:r>
    </w:p>
    <w:bookmarkEnd w:id="44"/>
    <w:bookmarkStart w:id="45" w:name="decentralization-roadmap"/>
    <w:p>
      <w:pPr>
        <w:pStyle w:val="Heading3"/>
      </w:pPr>
      <w:r>
        <w:t xml:space="preserve">9.3 Decentralization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Governance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Multisig with timelock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Token-weighted voting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Mature</w:t>
            </w:r>
          </w:p>
        </w:tc>
        <w:tc>
          <w:tcPr/>
          <w:p>
            <w:pPr>
              <w:pStyle w:val="Compact"/>
            </w:pPr>
            <w:r>
              <w:t xml:space="preserve">Full DAO governance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request-for-regulatory-guidance"/>
    <w:p>
      <w:pPr>
        <w:pStyle w:val="Heading2"/>
      </w:pPr>
      <w:r>
        <w:t xml:space="preserve">10. Request for Regulatory Guidance</w:t>
      </w:r>
    </w:p>
    <w:bookmarkStart w:id="47" w:name="areas-requiring-clarification"/>
    <w:p>
      <w:pPr>
        <w:pStyle w:val="Heading3"/>
      </w:pPr>
      <w:r>
        <w:t xml:space="preserve">10.1 Areas Requiring Clarification</w:t>
      </w:r>
    </w:p>
    <w:p>
      <w:pPr>
        <w:pStyle w:val="FirstParagraph"/>
      </w:pPr>
      <w:r>
        <w:t xml:space="preserve">We respectfully request SEC guidance on the following: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ATS Registration for Smart Contracts</w:t>
      </w:r>
    </w:p>
    <w:p>
      <w:pPr>
        <w:pStyle w:val="Compact"/>
        <w:numPr>
          <w:ilvl w:val="1"/>
          <w:numId w:val="1012"/>
        </w:numPr>
      </w:pPr>
      <w:r>
        <w:t xml:space="preserve">Can a smart contract protocol be registered as an ATS?</w:t>
      </w:r>
    </w:p>
    <w:p>
      <w:pPr>
        <w:pStyle w:val="Compact"/>
        <w:numPr>
          <w:ilvl w:val="1"/>
          <w:numId w:val="1012"/>
        </w:numPr>
      </w:pPr>
      <w:r>
        <w:t xml:space="preserve">What entity should be the registered operator?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 ATS Tailoring</w:t>
      </w:r>
    </w:p>
    <w:p>
      <w:pPr>
        <w:pStyle w:val="Compact"/>
        <w:numPr>
          <w:ilvl w:val="1"/>
          <w:numId w:val="1013"/>
        </w:numPr>
      </w:pPr>
      <w:r>
        <w:t xml:space="preserve">Should blockchain-native ATSs file modified disclosures?</w:t>
      </w:r>
    </w:p>
    <w:p>
      <w:pPr>
        <w:pStyle w:val="Compact"/>
        <w:numPr>
          <w:ilvl w:val="1"/>
          <w:numId w:val="1013"/>
        </w:numPr>
      </w:pPr>
      <w:r>
        <w:t xml:space="preserve">What operational details are most relevant?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Pairs Trading Framework</w:t>
      </w:r>
    </w:p>
    <w:p>
      <w:pPr>
        <w:pStyle w:val="Compact"/>
        <w:numPr>
          <w:ilvl w:val="1"/>
          <w:numId w:val="1014"/>
        </w:numPr>
      </w:pPr>
      <w:r>
        <w:t xml:space="preserve">Confirmation that non-security/security pairs are permissible</w:t>
      </w:r>
    </w:p>
    <w:p>
      <w:pPr>
        <w:pStyle w:val="Compact"/>
        <w:numPr>
          <w:ilvl w:val="1"/>
          <w:numId w:val="1014"/>
        </w:numPr>
      </w:pPr>
      <w:r>
        <w:t xml:space="preserve">Classification guidance for specific asset types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Settlement Finality Recognition</w:t>
      </w:r>
    </w:p>
    <w:p>
      <w:pPr>
        <w:pStyle w:val="Compact"/>
        <w:numPr>
          <w:ilvl w:val="1"/>
          <w:numId w:val="1015"/>
        </w:numPr>
      </w:pPr>
      <w:r>
        <w:t xml:space="preserve">Is blockchain settlement considered</w:t>
      </w:r>
      <w:r>
        <w:t xml:space="preserve"> </w:t>
      </w:r>
      <w:r>
        <w:t xml:space="preserve">“final”</w:t>
      </w:r>
      <w:r>
        <w:t xml:space="preserve"> </w:t>
      </w:r>
      <w:r>
        <w:t xml:space="preserve">for regulatory purposes?</w:t>
      </w:r>
    </w:p>
    <w:p>
      <w:pPr>
        <w:pStyle w:val="Compact"/>
        <w:numPr>
          <w:ilvl w:val="1"/>
          <w:numId w:val="1015"/>
        </w:numPr>
      </w:pPr>
      <w:r>
        <w:t xml:space="preserve">Any additional requirements for T+0 settlement?</w:t>
      </w:r>
    </w:p>
    <w:bookmarkEnd w:id="47"/>
    <w:bookmarkStart w:id="48" w:name="cooperation-commitment"/>
    <w:p>
      <w:pPr>
        <w:pStyle w:val="Heading3"/>
      </w:pPr>
      <w:r>
        <w:t xml:space="preserve">10.2 Cooperation Commitment</w:t>
      </w:r>
    </w:p>
    <w:p>
      <w:pPr>
        <w:pStyle w:val="FirstParagraph"/>
      </w:pPr>
      <w:r>
        <w:t xml:space="preserve">We commit to:</w:t>
      </w:r>
      <w:r>
        <w:t xml:space="preserve"> </w:t>
      </w:r>
      <w:r>
        <w:t xml:space="preserve">- Full cooperation with SEC examination</w:t>
      </w:r>
      <w:r>
        <w:t xml:space="preserve"> </w:t>
      </w:r>
      <w:r>
        <w:t xml:space="preserve">- Implementation of requested modifications</w:t>
      </w:r>
      <w:r>
        <w:t xml:space="preserve"> </w:t>
      </w:r>
      <w:r>
        <w:t xml:space="preserve">- Regular compliance reporting</w:t>
      </w:r>
      <w:r>
        <w:t xml:space="preserve"> </w:t>
      </w:r>
      <w:r>
        <w:t xml:space="preserve">- Participation in regulatory sandbox programs</w:t>
      </w:r>
    </w:p>
    <w:bookmarkEnd w:id="48"/>
    <w:bookmarkStart w:id="49" w:name="contact-information"/>
    <w:p>
      <w:pPr>
        <w:pStyle w:val="Heading3"/>
      </w:pPr>
      <w:r>
        <w:t xml:space="preserve">10.3 Contact Information</w:t>
      </w:r>
    </w:p>
    <w:p>
      <w:pPr>
        <w:pStyle w:val="FirstParagraph"/>
      </w:pPr>
      <w:r>
        <w:t xml:space="preserve">[To be completed by submitting party]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appendices"/>
    <w:p>
      <w:pPr>
        <w:pStyle w:val="Heading2"/>
      </w:pPr>
      <w:r>
        <w:t xml:space="preserve">11. Appendices</w:t>
      </w:r>
    </w:p>
    <w:bookmarkStart w:id="51" w:name="appendix-a-smart-contract-addresses"/>
    <w:p>
      <w:pPr>
        <w:pStyle w:val="Heading3"/>
      </w:pPr>
      <w:r>
        <w:t xml:space="preserve">Appendix A: Smart Contract Addresses</w:t>
      </w:r>
    </w:p>
    <w:p>
      <w:pPr>
        <w:pStyle w:val="FirstParagraph"/>
      </w:pPr>
      <w:r>
        <w:t xml:space="preserve">[To be populated upon deployment]</w:t>
      </w:r>
    </w:p>
    <w:bookmarkEnd w:id="51"/>
    <w:bookmarkStart w:id="52" w:name="appendix-b-security-audit-reports"/>
    <w:p>
      <w:pPr>
        <w:pStyle w:val="Heading3"/>
      </w:pPr>
      <w:r>
        <w:t xml:space="preserve">Appendix B: Security Audit Reports</w:t>
      </w:r>
    </w:p>
    <w:p>
      <w:pPr>
        <w:pStyle w:val="FirstParagraph"/>
      </w:pPr>
      <w:r>
        <w:t xml:space="preserve">[Links to third-party audit reports]</w:t>
      </w:r>
    </w:p>
    <w:bookmarkEnd w:id="52"/>
    <w:bookmarkStart w:id="53" w:name="appendix-c-mathematical-proofs"/>
    <w:p>
      <w:pPr>
        <w:pStyle w:val="Heading3"/>
      </w:pPr>
      <w:r>
        <w:t xml:space="preserve">Appendix C: Mathematical Proofs</w:t>
      </w:r>
    </w:p>
    <w:p>
      <w:pPr>
        <w:pStyle w:val="FirstParagraph"/>
      </w:pPr>
      <w:r>
        <w:t xml:space="preserve">See:</w:t>
      </w:r>
      <w:r>
        <w:t xml:space="preserve"> </w:t>
      </w:r>
      <w:r>
        <w:rPr>
          <w:rStyle w:val="VerbatimChar"/>
        </w:rPr>
        <w:t xml:space="preserve">FORMAL_FAIRNESS_PROOFS.md</w:t>
      </w:r>
    </w:p>
    <w:p>
      <w:pPr>
        <w:pStyle w:val="Compact"/>
        <w:numPr>
          <w:ilvl w:val="0"/>
          <w:numId w:val="1016"/>
        </w:numPr>
      </w:pPr>
      <w:r>
        <w:t xml:space="preserve">Proof of shuffle uniformity</w:t>
      </w:r>
    </w:p>
    <w:p>
      <w:pPr>
        <w:pStyle w:val="Compact"/>
        <w:numPr>
          <w:ilvl w:val="0"/>
          <w:numId w:val="1016"/>
        </w:numPr>
      </w:pPr>
      <w:r>
        <w:t xml:space="preserve">Proof of clearing price efficiency</w:t>
      </w:r>
    </w:p>
    <w:p>
      <w:pPr>
        <w:pStyle w:val="Compact"/>
        <w:numPr>
          <w:ilvl w:val="0"/>
          <w:numId w:val="1016"/>
        </w:numPr>
      </w:pPr>
      <w:r>
        <w:t xml:space="preserve">Proof of MEV impossibility</w:t>
      </w:r>
    </w:p>
    <w:bookmarkEnd w:id="53"/>
    <w:bookmarkStart w:id="54" w:name="appendix-d-source-code"/>
    <w:p>
      <w:pPr>
        <w:pStyle w:val="Heading3"/>
      </w:pPr>
      <w:r>
        <w:t xml:space="preserve">Appendix D: Source Code</w:t>
      </w:r>
    </w:p>
    <w:p>
      <w:pPr>
        <w:pStyle w:val="FirstParagraph"/>
      </w:pPr>
      <w:r>
        <w:t xml:space="preserve">Repository: [GitHub link]</w:t>
      </w:r>
      <w:r>
        <w:t xml:space="preserve"> </w:t>
      </w:r>
      <w:r>
        <w:t xml:space="preserve">License: MIT (Open Source)</w:t>
      </w:r>
    </w:p>
    <w:bookmarkEnd w:id="54"/>
    <w:bookmarkStart w:id="55" w:name="appendix-e-glossary"/>
    <w:p>
      <w:pPr>
        <w:pStyle w:val="Heading3"/>
      </w:pPr>
      <w:r>
        <w:t xml:space="preserve">Appendix E: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MEV</w:t>
            </w:r>
          </w:p>
        </w:tc>
        <w:tc>
          <w:tcPr/>
          <w:p>
            <w:pPr>
              <w:pStyle w:val="Compact"/>
            </w:pPr>
            <w:r>
              <w:t xml:space="preserve">Maximal Extractable Value - profit from transaction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</w:t>
            </w:r>
          </w:p>
        </w:tc>
        <w:tc>
          <w:tcPr/>
          <w:p>
            <w:pPr>
              <w:pStyle w:val="Compact"/>
            </w:pPr>
            <w:r>
              <w:t xml:space="preserve">Automated Market Maker - algorithmic liquidity provision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TWAP</w:t>
            </w:r>
          </w:p>
        </w:tc>
        <w:tc>
          <w:tcPr/>
          <w:p>
            <w:pPr>
              <w:pStyle w:val="Compact"/>
            </w:pPr>
            <w:r>
              <w:t xml:space="preserve">Time-Weighted Average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ATS</w:t>
            </w:r>
          </w:p>
        </w:tc>
        <w:tc>
          <w:tcPr/>
          <w:p>
            <w:pPr>
              <w:pStyle w:val="Compact"/>
            </w:pPr>
            <w:r>
              <w:t xml:space="preserve">Alternative Trading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T+0</w:t>
            </w:r>
          </w:p>
        </w:tc>
        <w:tc>
          <w:tcPr/>
          <w:p>
            <w:pPr>
              <w:pStyle w:val="Compact"/>
            </w:pPr>
            <w:r>
              <w:t xml:space="preserve">Same-day settlement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February 2026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Public Submission</w:t>
      </w:r>
    </w:p>
    <w:p>
      <w:pPr>
        <w:pStyle w:val="BodyText"/>
      </w:pPr>
      <w:r>
        <w:rPr>
          <w:b/>
          <w:bCs/>
        </w:rPr>
        <w:t xml:space="preserve">Prepared for</w:t>
      </w:r>
      <w:r>
        <w:t xml:space="preserve">:</w:t>
      </w:r>
      <w:r>
        <w:t xml:space="preserve"> </w:t>
      </w:r>
      <w:r>
        <w:t xml:space="preserve">U.S. Securities and Exchange Commission</w:t>
      </w:r>
      <w:r>
        <w:t xml:space="preserve"> </w:t>
      </w:r>
      <w:r>
        <w:t xml:space="preserve">Crypto Task Force</w:t>
      </w:r>
      <w:r>
        <w:t xml:space="preserve"> </w:t>
      </w:r>
      <w:r>
        <w:t xml:space="preserve">100 F Street, NE</w:t>
      </w:r>
      <w:r>
        <w:t xml:space="preserve"> </w:t>
      </w:r>
      <w:r>
        <w:t xml:space="preserve">Washington, DC 20549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whitepaper is submitted in response to the SEC’s request for information regarding digital asset trading systems and represents a good-faith effort to engage constructively with the regulatory process.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2026-02-09T16:39:13Z</dcterms:created>
  <dcterms:modified xsi:type="dcterms:W3CDTF">2026-02-09T16:39:13Z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