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Arial" w:hAnsi="Arial" w:eastAsia="Arial" w:cs="Arial"/>
          <w:b/>
          <w:color w:val="000000"/>
          <w:sz w:val="24"/>
          <w:szCs w:val="24"/>
        </w:rPr>
        <w:t>Informe de pruebas de seguridad de software</w:t>
      </w:r>
    </w:p>
    <w:p>
      <w:pPr>
        <w:pStyle w:val="Heading1"/>
        <w:widowControl/>
      </w:pPr>
      <w:bookmarkStart w:id="1" w:name="informe_seccion_1"/>
      <w:r>
        <w:rPr>
          <w:rFonts w:ascii="Arial" w:hAnsi="Arial" w:eastAsia="Arial" w:cs="Arial"/>
          <w:b/>
          <w:color w:val="000000"/>
          <w:sz w:val="24"/>
          <w:szCs w:val="24"/>
        </w:rPr>
        <w:t>1 Portada</w:t>
      </w:r>
      <w:bookmarkEnd w:id="1"/>
    </w:p>
    <w:p>
      <w:r>
        <w:rPr>
          <w:rFonts w:ascii="Arial" w:hAnsi="Arial"/>
          <w:b/>
          <w:color w:val="000000"/>
          <w:sz w:val="24"/>
        </w:rPr>
        <w:t xml:space="preserve">Curso: </w:t>
      </w:r>
      <w:r>
        <w:rPr>
          <w:rFonts w:ascii="Arial" w:hAnsi="Arial"/>
          <w:color w:val="000000"/>
          <w:sz w:val="24"/>
        </w:rPr>
        <w:t>Pruebas de Software</w:t>
      </w:r>
    </w:p>
    <w:p>
      <w:r>
        <w:rPr>
          <w:rFonts w:ascii="Arial" w:hAnsi="Arial"/>
          <w:b/>
          <w:color w:val="000000"/>
          <w:sz w:val="24"/>
        </w:rPr>
        <w:t xml:space="preserve">Código del curso: </w:t>
      </w:r>
      <w:r>
        <w:rPr>
          <w:rFonts w:ascii="Arial" w:hAnsi="Arial"/>
          <w:color w:val="000000"/>
          <w:sz w:val="24"/>
        </w:rPr>
        <w:t>ISW-622</w:t>
      </w:r>
    </w:p>
    <w:p>
      <w:r>
        <w:rPr>
          <w:rFonts w:ascii="Arial" w:hAnsi="Arial"/>
          <w:b/>
          <w:color w:val="000000"/>
          <w:sz w:val="24"/>
        </w:rPr>
        <w:t xml:space="preserve">Integrantes: </w:t>
      </w:r>
      <w:r>
        <w:rPr>
          <w:rFonts w:ascii="Arial" w:hAnsi="Arial"/>
          <w:color w:val="000000"/>
          <w:sz w:val="24"/>
        </w:rPr>
        <w:t>Wilberth Guillen y Jania Hernández Dormuz</w:t>
      </w:r>
    </w:p>
    <w:p>
      <w:r>
        <w:rPr>
          <w:rFonts w:ascii="Arial" w:hAnsi="Arial"/>
          <w:b/>
          <w:color w:val="000000"/>
          <w:sz w:val="24"/>
        </w:rPr>
        <w:t xml:space="preserve">Grupo: </w:t>
      </w:r>
      <w:r>
        <w:rPr>
          <w:rFonts w:ascii="Arial" w:hAnsi="Arial"/>
          <w:color w:val="000000"/>
          <w:sz w:val="24"/>
        </w:rPr>
        <w:t>Sábados</w:t>
      </w:r>
    </w:p>
    <w:p>
      <w:r>
        <w:rPr>
          <w:rFonts w:ascii="Arial" w:hAnsi="Arial"/>
          <w:b/>
          <w:color w:val="000000"/>
          <w:sz w:val="24"/>
        </w:rPr>
        <w:t xml:space="preserve">Fecha de entrega: </w:t>
      </w:r>
      <w:r>
        <w:rPr>
          <w:rFonts w:ascii="Arial" w:hAnsi="Arial"/>
          <w:color w:val="000000"/>
          <w:sz w:val="24"/>
        </w:rPr>
        <w:t>30 de octubre de 2026</w:t>
      </w:r>
    </w:p>
    <w:p>
      <w:r>
        <w:rPr>
          <w:rFonts w:ascii="Arial" w:hAnsi="Arial" w:eastAsia="Arial" w:cs="Arial"/>
          <w:b/>
          <w:color w:val="000000"/>
          <w:sz w:val="24"/>
          <w:szCs w:val="24"/>
        </w:rPr>
        <w:t xml:space="preserve">Nombre del proyecto: </w:t>
      </w:r>
      <w:r>
        <w:rPr>
          <w:rFonts w:ascii="Arial" w:hAnsi="Arial" w:eastAsia="Arial" w:cs="Arial"/>
          <w:color w:val="000000"/>
          <w:sz w:val="24"/>
          <w:szCs w:val="24"/>
        </w:rPr>
        <w:t>laboratorio-pruebas-seguridad</w:t>
      </w:r>
    </w:p>
    <w:p>
      <w:r>
        <w:rPr>
          <w:rFonts w:ascii="Arial" w:hAnsi="Arial" w:eastAsia="Arial" w:cs="Arial"/>
          <w:b/>
          <w:color w:val="000000"/>
          <w:sz w:val="24"/>
          <w:szCs w:val="24"/>
        </w:rPr>
        <w:t xml:space="preserve">Versión del proyecto: </w:t>
      </w:r>
      <w:r>
        <w:rPr>
          <w:rFonts w:ascii="Arial" w:hAnsi="Arial" w:eastAsia="Arial" w:cs="Arial"/>
          <w:color w:val="000000"/>
          <w:sz w:val="24"/>
          <w:szCs w:val="24"/>
        </w:rPr>
        <w:t>W1 sobre la base 9525e75; cambios de Wilberth identificados en evidencias/version_bloque_wilberth.json</w:t>
      </w:r>
    </w:p>
    <w:p>
      <w:r>
        <w:rPr>
          <w:rFonts w:ascii="Arial" w:hAnsi="Arial" w:eastAsia="Arial" w:cs="Arial"/>
          <w:b/>
          <w:color w:val="000000"/>
          <w:sz w:val="24"/>
          <w:szCs w:val="24"/>
        </w:rPr>
        <w:t xml:space="preserve">Autor del documento: </w:t>
      </w:r>
      <w:r>
        <w:rPr>
          <w:rFonts w:ascii="Arial" w:hAnsi="Arial" w:eastAsia="Arial" w:cs="Arial"/>
          <w:color w:val="000000"/>
          <w:sz w:val="24"/>
          <w:szCs w:val="24"/>
        </w:rPr>
        <w:t>Wilberth Guillen</w:t>
      </w:r>
    </w:p>
    <w:p>
      <w:r>
        <w:rPr>
          <w:rFonts w:ascii="Arial" w:hAnsi="Arial" w:eastAsia="Arial" w:cs="Arial"/>
          <w:b/>
          <w:color w:val="000000"/>
          <w:sz w:val="24"/>
          <w:szCs w:val="24"/>
        </w:rPr>
        <w:t xml:space="preserve">Fecha del corte: </w:t>
      </w:r>
      <w:r>
        <w:rPr>
          <w:rFonts w:ascii="Arial" w:hAnsi="Arial" w:eastAsia="Arial" w:cs="Arial"/>
          <w:color w:val="000000"/>
          <w:sz w:val="24"/>
          <w:szCs w:val="24"/>
        </w:rPr>
        <w:t>25 de octubre de 2026, Costa Rica</w:t>
      </w:r>
    </w:p>
    <w:p>
      <w:r>
        <w:rPr>
          <w:rFonts w:ascii="Arial" w:hAnsi="Arial" w:eastAsia="Arial" w:cs="Arial"/>
          <w:b/>
          <w:color w:val="000000"/>
          <w:sz w:val="24"/>
          <w:szCs w:val="24"/>
        </w:rPr>
        <w:t xml:space="preserve">Repositorio: </w:t>
      </w:r>
      <w:r>
        <w:rPr>
          <w:rFonts w:ascii="Arial" w:hAnsi="Arial" w:eastAsia="Arial" w:cs="Arial"/>
          <w:color w:val="000000"/>
          <w:sz w:val="24"/>
          <w:szCs w:val="24"/>
        </w:rPr>
        <w:t>https://github.com/WGuillenDev/laboratorio-pruebas-seguridad</w:t>
      </w:r>
    </w:p>
    <w:p>
      <w:pPr>
        <w:widowControl/>
      </w:pPr>
      <w:r>
        <w:rPr>
          <w:rFonts w:ascii="Arial" w:hAnsi="Arial" w:eastAsia="Arial" w:cs="Arial"/>
          <w:b w:val="0"/>
          <w:color w:val="000000"/>
          <w:sz w:val="24"/>
          <w:szCs w:val="24"/>
        </w:rPr>
        <w:t>El informe documenta una campaña de pruebas sobre expedientes académicos ficticios. Presenta los resultados del bloque de Wilberth y deja identificadas las actividades pendientes de Jania. La decisión provisional es no liberar el sistema hasta completar y verificar los controles abiertos.</w:t>
      </w:r>
    </w:p>
    <w:p>
      <w:pPr>
        <w:widowControl/>
      </w:pPr>
      <w:r>
        <w:rPr>
          <w:rFonts w:ascii="Arial" w:hAnsi="Arial" w:eastAsia="Arial" w:cs="Arial"/>
          <w:b w:val="0"/>
          <w:color w:val="000000"/>
          <w:sz w:val="24"/>
          <w:szCs w:val="24"/>
        </w:rPr>
        <w:t>Estado: versión editable en revisión. Las actividades pendientes de Jania y el cierre del equipo se completarán antes de exportar el informe final a PDF.</w:t>
      </w:r>
    </w:p>
    <w:p>
      <w:pPr>
        <w:pStyle w:val="Heading2"/>
        <w:pageBreakBefore/>
        <w:widowControl/>
      </w:pPr>
      <w:r>
        <w:rPr>
          <w:rFonts w:ascii="Arial" w:hAnsi="Arial" w:eastAsia="Arial" w:cs="Arial"/>
          <w:b/>
          <w:color w:val="000000"/>
          <w:sz w:val="24"/>
          <w:szCs w:val="24"/>
        </w:rPr>
        <w:t>Contenido</w:t>
      </w:r>
    </w:p>
    <w:p>
      <w:pPr>
        <w:widowControl/>
      </w:pPr>
      <w:hyperlink w:anchor="informe_seccion_1" w:history="1">
        <w:r>
          <w:rPr>
            <w:rFonts w:ascii="Arial" w:hAnsi="Arial" w:eastAsia="Arial" w:cs="Arial"/>
            <w:sz w:val="24"/>
            <w:szCs w:val="24"/>
            <w:color w:val="000000"/>
            <w:u w:val="none"/>
          </w:rPr>
          <w:t>1 Portada</w:t>
        </w:r>
      </w:hyperlink>
    </w:p>
    <w:p>
      <w:pPr>
        <w:widowControl/>
      </w:pPr>
      <w:hyperlink w:anchor="informe_seccion_2" w:history="1">
        <w:r>
          <w:rPr>
            <w:rFonts w:ascii="Arial" w:hAnsi="Arial" w:eastAsia="Arial" w:cs="Arial"/>
            <w:sz w:val="24"/>
            <w:szCs w:val="24"/>
            <w:color w:val="000000"/>
            <w:u w:val="none"/>
          </w:rPr>
          <w:t>2 Descripción del alcance activos flujo de datos y amenazas priorizadas</w:t>
        </w:r>
      </w:hyperlink>
    </w:p>
    <w:p>
      <w:pPr>
        <w:widowControl/>
      </w:pPr>
      <w:hyperlink w:anchor="informe_seccion_3" w:history="1">
        <w:r>
          <w:rPr>
            <w:rFonts w:ascii="Arial" w:hAnsi="Arial" w:eastAsia="Arial" w:cs="Arial"/>
            <w:sz w:val="24"/>
            <w:szCs w:val="24"/>
            <w:color w:val="000000"/>
            <w:u w:val="none"/>
          </w:rPr>
          <w:t>3 Requisitos verificables criterios de aceptación y matriz de trazabilidad</w:t>
        </w:r>
      </w:hyperlink>
    </w:p>
    <w:p>
      <w:pPr>
        <w:widowControl/>
      </w:pPr>
      <w:hyperlink w:anchor="informe_seccion_4" w:history="1">
        <w:r>
          <w:rPr>
            <w:rFonts w:ascii="Arial" w:hAnsi="Arial" w:eastAsia="Arial" w:cs="Arial"/>
            <w:sz w:val="24"/>
            <w:szCs w:val="24"/>
            <w:color w:val="000000"/>
            <w:u w:val="none"/>
          </w:rPr>
          <w:t>4 Diseño de los doce casos y explicación de los dos ciclos TDD</w:t>
        </w:r>
      </w:hyperlink>
    </w:p>
    <w:p>
      <w:pPr>
        <w:widowControl/>
      </w:pPr>
      <w:hyperlink w:anchor="informe_seccion_5" w:history="1">
        <w:r>
          <w:rPr>
            <w:rFonts w:ascii="Arial" w:hAnsi="Arial" w:eastAsia="Arial" w:cs="Arial"/>
            <w:sz w:val="24"/>
            <w:szCs w:val="24"/>
            <w:color w:val="000000"/>
            <w:u w:val="none"/>
          </w:rPr>
          <w:t>5 Acta de inspección evaluación de usabilidad registro de hallazgos y conclusiones</w:t>
        </w:r>
      </w:hyperlink>
    </w:p>
    <w:p>
      <w:pPr>
        <w:widowControl/>
      </w:pPr>
      <w:hyperlink w:anchor="informe_seccion_6" w:history="1">
        <w:r>
          <w:rPr>
            <w:rFonts w:ascii="Arial" w:hAnsi="Arial" w:eastAsia="Arial" w:cs="Arial"/>
            <w:sz w:val="24"/>
            <w:szCs w:val="24"/>
            <w:color w:val="000000"/>
            <w:u w:val="none"/>
          </w:rPr>
          <w:t>6 Indicadores calculados decisión de liberación y limitaciones del estudio</w:t>
        </w:r>
      </w:hyperlink>
    </w:p>
    <w:p>
      <w:pPr>
        <w:pStyle w:val="Heading1"/>
        <w:pageBreakBefore/>
        <w:widowControl/>
      </w:pPr>
      <w:bookmarkStart w:id="2" w:name="informe_seccion_2"/>
      <w:r>
        <w:rPr>
          <w:rFonts w:ascii="Arial" w:hAnsi="Arial" w:eastAsia="Arial" w:cs="Arial"/>
          <w:b/>
          <w:color w:val="000000"/>
          <w:sz w:val="24"/>
          <w:szCs w:val="24"/>
        </w:rPr>
        <w:t>2 Descripción del alcance activos flujo de datos y amenazas priorizadas</w:t>
      </w:r>
      <w:bookmarkEnd w:id="2"/>
    </w:p>
    <w:p>
      <w:pPr>
        <w:pStyle w:val="Heading2"/>
        <w:widowControl/>
      </w:pPr>
      <w:r>
        <w:rPr>
          <w:rFonts w:ascii="Arial" w:hAnsi="Arial" w:eastAsia="Arial" w:cs="Arial"/>
          <w:b/>
          <w:color w:val="000000"/>
          <w:sz w:val="24"/>
          <w:szCs w:val="24"/>
        </w:rPr>
        <w:t>2 1 Alcance</w:t>
      </w:r>
    </w:p>
    <w:p>
      <w:pPr>
        <w:widowControl/>
      </w:pPr>
      <w:r>
        <w:rPr>
          <w:rFonts w:ascii="Arial" w:hAnsi="Arial" w:eastAsia="Arial" w:cs="Arial"/>
          <w:b w:val="0"/>
          <w:color w:val="000000"/>
          <w:sz w:val="24"/>
          <w:szCs w:val="24"/>
        </w:rPr>
        <w:t>El laboratorio local gestiona dos expedientes sintéticos: 101 de Ana, sede Central, nota inicial 82; y 202 de Luis, sede Pacífico, nota inicial 91. Se evalúan lectura, cambios de nota, sesiones, confidencialidad de respuestas y auditoría. Se excluyen sistemas reales, autenticación de producción, despliegue, carga y persistencia externa.</w:t>
      </w:r>
    </w:p>
    <w:p>
      <w:pPr>
        <w:widowControl/>
      </w:pPr>
      <w:r>
        <w:rPr>
          <w:rFonts w:ascii="Arial" w:hAnsi="Arial" w:eastAsia="Arial" w:cs="Arial"/>
          <w:b w:val="0"/>
          <w:color w:val="000000"/>
          <w:sz w:val="24"/>
          <w:szCs w:val="24"/>
        </w:rPr>
        <w:t>Wilberth tiene asignados TC-01, TC-03, TC-04, TC-05, TC-07 y TC-12. Jania tiene asignados TC-02, TC-06, TC-08, TC-09, TC-10 y TC-11. Las revisiones cruzadas y el cierre requieren participación de ambos.</w:t>
      </w:r>
    </w:p>
    <w:p>
      <w:pPr>
        <w:pStyle w:val="Heading2"/>
        <w:widowControl/>
      </w:pPr>
      <w:r>
        <w:rPr>
          <w:rFonts w:ascii="Arial" w:hAnsi="Arial" w:eastAsia="Arial" w:cs="Arial"/>
          <w:b/>
          <w:color w:val="000000"/>
          <w:sz w:val="24"/>
          <w:szCs w:val="24"/>
        </w:rPr>
        <w:t>2 2 Activos</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36"/>
        <w:gridCol w:w="4824"/>
        <w:gridCol w:w="3600"/>
      </w:tblGrid>
      <w:tr>
        <w:trPr>
          <w:cantSplit/>
          <w:tblHeader/>
        </w:trPr>
        <w:tc>
          <w:tcPr>
            <w:tcW w:type="dxa" w:w="936"/>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color w:val="000000"/>
                <w:sz w:val="24"/>
                <w:szCs w:val="24"/>
              </w:rPr>
              <w:t>ID</w:t>
            </w:r>
          </w:p>
        </w:tc>
        <w:tc>
          <w:tcPr>
            <w:tcW w:type="dxa" w:w="4824"/>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color w:val="000000"/>
                <w:sz w:val="24"/>
                <w:szCs w:val="24"/>
              </w:rPr>
              <w:t>Activo</w:t>
            </w:r>
          </w:p>
        </w:tc>
        <w:tc>
          <w:tcPr>
            <w:tcW w:type="dxa" w:w="3600"/>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color w:val="000000"/>
                <w:sz w:val="24"/>
                <w:szCs w:val="24"/>
              </w:rPr>
              <w:t>Propiedad a proteger</w:t>
            </w:r>
          </w:p>
        </w:tc>
      </w:tr>
      <w:tr>
        <w:trPr>
          <w:cantSplit/>
        </w:trPr>
        <w:tc>
          <w:tcPr>
            <w:tcW w:type="dxa" w:w="936"/>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A-01</w:t>
            </w:r>
          </w:p>
        </w:tc>
        <w:tc>
          <w:tcPr>
            <w:tcW w:type="dxa" w:w="4824"/>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Expedientes: identidad del titular, sede e identificador</w:t>
            </w:r>
          </w:p>
        </w:tc>
        <w:tc>
          <w:tcPr>
            <w:tcW w:type="dxa" w:w="3600"/>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Confidencialidad e integridad</w:t>
            </w:r>
          </w:p>
        </w:tc>
      </w:tr>
      <w:tr>
        <w:trPr>
          <w:cantSplit/>
        </w:trPr>
        <w:tc>
          <w:tcPr>
            <w:tcW w:type="dxa" w:w="936"/>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A-02</w:t>
            </w:r>
          </w:p>
        </w:tc>
        <w:tc>
          <w:tcPr>
            <w:tcW w:type="dxa" w:w="4824"/>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Notas académicas, entre 0 y 100</w:t>
            </w:r>
          </w:p>
        </w:tc>
        <w:tc>
          <w:tcPr>
            <w:tcW w:type="dxa" w:w="3600"/>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Integridad y confidencialidad</w:t>
            </w:r>
          </w:p>
        </w:tc>
      </w:tr>
      <w:tr>
        <w:trPr>
          <w:cantSplit/>
        </w:trPr>
        <w:tc>
          <w:tcPr>
            <w:tcW w:type="dxa" w:w="936"/>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A-03</w:t>
            </w:r>
          </w:p>
        </w:tc>
        <w:tc>
          <w:tcPr>
            <w:tcW w:type="dxa" w:w="4824"/>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Sesiones y tokens sintéticos con indicadores de revocación/expiración</w:t>
            </w:r>
          </w:p>
        </w:tc>
        <w:tc>
          <w:tcPr>
            <w:tcW w:type="dxa" w:w="3600"/>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Validez del acceso y confidencialidad</w:t>
            </w:r>
          </w:p>
        </w:tc>
      </w:tr>
      <w:tr>
        <w:trPr>
          <w:cantSplit/>
        </w:trPr>
        <w:tc>
          <w:tcPr>
            <w:tcW w:type="dxa" w:w="936"/>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A-04</w:t>
            </w:r>
          </w:p>
        </w:tc>
        <w:tc>
          <w:tcPr>
            <w:tcW w:type="dxa" w:w="4824"/>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Permisos definidos por rol, identidad y sede</w:t>
            </w:r>
          </w:p>
        </w:tc>
        <w:tc>
          <w:tcPr>
            <w:tcW w:type="dxa" w:w="3600"/>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Integridad y autorización</w:t>
            </w:r>
          </w:p>
        </w:tc>
      </w:tr>
      <w:tr>
        <w:trPr>
          <w:cantSplit/>
        </w:trPr>
        <w:tc>
          <w:tcPr>
            <w:tcW w:type="dxa" w:w="936"/>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A-05</w:t>
            </w:r>
          </w:p>
        </w:tc>
        <w:tc>
          <w:tcPr>
            <w:tcW w:type="dxa" w:w="4824"/>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Bitácora de lecturas y actualizaciones</w:t>
            </w:r>
          </w:p>
        </w:tc>
        <w:tc>
          <w:tcPr>
            <w:tcW w:type="dxa" w:w="3600"/>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Trazabilidad, confidencialidad de credenciales</w:t>
            </w:r>
          </w:p>
        </w:tc>
      </w:tr>
    </w:tbl>
    <w:p>
      <w:pPr>
        <w:pStyle w:val="Heading2"/>
        <w:widowControl/>
      </w:pPr>
      <w:r>
        <w:rPr>
          <w:rFonts w:ascii="Arial" w:hAnsi="Arial" w:eastAsia="Arial" w:cs="Arial"/>
          <w:b/>
          <w:color w:val="000000"/>
          <w:sz w:val="24"/>
          <w:szCs w:val="24"/>
        </w:rPr>
        <w:t>2 3 Flujo de datos</w:t>
      </w:r>
    </w:p>
    <w:p>
      <w:pPr>
        <w:widowControl/>
      </w:pPr>
      <w:r>
        <w:rPr>
          <w:rFonts w:ascii="Arial" w:hAnsi="Arial" w:eastAsia="Arial" w:cs="Arial"/>
          <w:b w:val="0"/>
          <w:color w:val="000000"/>
          <w:sz w:val="24"/>
          <w:szCs w:val="24"/>
        </w:rPr>
        <w:t>Cliente local → servidor.py (ruta, token y JSON) → src/lab.py (sesión, permisos y validación) → estado en memoria (expedientes, sesiones y auditoría) → respuesta HTTP y JSON al cliente.</w:t>
      </w:r>
    </w:p>
    <w:p>
      <w:pPr>
        <w:widowControl/>
      </w:pPr>
      <w:r>
        <w:rPr>
          <w:rFonts w:ascii="Arial" w:hAnsi="Arial" w:eastAsia="Arial" w:cs="Arial"/>
          <w:b w:val="0"/>
          <w:color w:val="000000"/>
          <w:sz w:val="24"/>
          <w:szCs w:val="24"/>
        </w:rPr>
        <w:t>El servidor trata las entradas del cliente como no confiables. Los permisos se aplican en la lógica. Las pruebas unitarias llaman a esa lógica; la integración atraviesa HTTP real. Reiniciar el servidor restablece los datos sintéticos.</w:t>
      </w:r>
    </w:p>
    <w:p>
      <w:pPr>
        <w:pStyle w:val="Heading2"/>
        <w:pageBreakBefore/>
        <w:widowControl/>
      </w:pPr>
      <w:r>
        <w:rPr>
          <w:rFonts w:ascii="Arial" w:hAnsi="Arial" w:eastAsia="Arial" w:cs="Arial"/>
          <w:b/>
          <w:color w:val="000000"/>
          <w:sz w:val="24"/>
          <w:szCs w:val="24"/>
        </w:rPr>
        <w:t>2 4 Amenazas priorizadas</w:t>
      </w:r>
    </w:p>
    <w:p>
      <w:pPr>
        <w:pStyle w:val="Heading3"/>
        <w:keepNext/>
        <w:widowControl/>
      </w:pPr>
      <w:r>
        <w:rPr>
          <w:rFonts w:ascii="Arial" w:hAnsi="Arial" w:eastAsia="Arial" w:cs="Arial"/>
          <w:b/>
          <w:color w:val="000000"/>
          <w:sz w:val="24"/>
          <w:szCs w:val="24"/>
        </w:rPr>
        <w:t>R-01</w:t>
      </w:r>
    </w:p>
    <w:p>
      <w:pPr>
        <w:keepNext/>
      </w:pPr>
      <w:r>
        <w:rPr>
          <w:rFonts w:ascii="Arial" w:hAnsi="Arial" w:eastAsia="Arial" w:cs="Arial"/>
          <w:b/>
          <w:color w:val="000000"/>
          <w:sz w:val="24"/>
          <w:szCs w:val="24"/>
        </w:rPr>
        <w:t xml:space="preserve">Actor y abuso: </w:t>
      </w:r>
      <w:r>
        <w:rPr>
          <w:rFonts w:ascii="Arial" w:hAnsi="Arial" w:eastAsia="Arial" w:cs="Arial"/>
          <w:color w:val="000000"/>
          <w:sz w:val="24"/>
          <w:szCs w:val="24"/>
        </w:rPr>
        <w:t>Estudiante cambia el identificador para consultar otro expediente; docente consulta otra sede</w:t>
      </w:r>
    </w:p>
    <w:p>
      <w:pPr>
        <w:keepNext/>
      </w:pPr>
      <w:r>
        <w:rPr>
          <w:rFonts w:ascii="Arial" w:hAnsi="Arial" w:eastAsia="Arial" w:cs="Arial"/>
          <w:b/>
          <w:color w:val="000000"/>
          <w:sz w:val="24"/>
          <w:szCs w:val="24"/>
        </w:rPr>
        <w:t xml:space="preserve">Activo e impacto: </w:t>
      </w:r>
      <w:r>
        <w:rPr>
          <w:rFonts w:ascii="Arial" w:hAnsi="Arial" w:eastAsia="Arial" w:cs="Arial"/>
          <w:color w:val="000000"/>
          <w:sz w:val="24"/>
          <w:szCs w:val="24"/>
        </w:rPr>
        <w:t>A-01, A-02, A-04; Divulgación de información académica</w:t>
      </w:r>
    </w:p>
    <w:p>
      <w:r>
        <w:rPr>
          <w:rFonts w:ascii="Arial" w:hAnsi="Arial" w:eastAsia="Arial" w:cs="Arial"/>
          <w:b/>
          <w:color w:val="000000"/>
          <w:sz w:val="24"/>
          <w:szCs w:val="24"/>
        </w:rPr>
        <w:t xml:space="preserve">Prioridad razonada: </w:t>
      </w:r>
      <w:r>
        <w:rPr>
          <w:rFonts w:ascii="Arial" w:hAnsi="Arial" w:eastAsia="Arial" w:cs="Arial"/>
          <w:color w:val="000000"/>
          <w:sz w:val="24"/>
          <w:szCs w:val="24"/>
        </w:rPr>
        <w:t>Alta: acceso directo a datos ajenos con una cuenta válida</w:t>
      </w:r>
    </w:p>
    <w:p>
      <w:pPr>
        <w:pStyle w:val="Heading3"/>
        <w:keepNext/>
        <w:widowControl/>
      </w:pPr>
      <w:r>
        <w:rPr>
          <w:rFonts w:ascii="Arial" w:hAnsi="Arial" w:eastAsia="Arial" w:cs="Arial"/>
          <w:b/>
          <w:color w:val="000000"/>
          <w:sz w:val="24"/>
          <w:szCs w:val="24"/>
        </w:rPr>
        <w:t>R-02</w:t>
      </w:r>
    </w:p>
    <w:p>
      <w:pPr>
        <w:keepNext/>
      </w:pPr>
      <w:r>
        <w:rPr>
          <w:rFonts w:ascii="Arial" w:hAnsi="Arial" w:eastAsia="Arial" w:cs="Arial"/>
          <w:b/>
          <w:color w:val="000000"/>
          <w:sz w:val="24"/>
          <w:szCs w:val="24"/>
        </w:rPr>
        <w:t xml:space="preserve">Actor y abuso: </w:t>
      </w:r>
      <w:r>
        <w:rPr>
          <w:rFonts w:ascii="Arial" w:hAnsi="Arial" w:eastAsia="Arial" w:cs="Arial"/>
          <w:color w:val="000000"/>
          <w:sz w:val="24"/>
          <w:szCs w:val="24"/>
        </w:rPr>
        <w:t>Docente modifica otra sede; estudiante o administrador intenta cambiar notas</w:t>
      </w:r>
    </w:p>
    <w:p>
      <w:pPr>
        <w:keepNext/>
      </w:pPr>
      <w:r>
        <w:rPr>
          <w:rFonts w:ascii="Arial" w:hAnsi="Arial" w:eastAsia="Arial" w:cs="Arial"/>
          <w:b/>
          <w:color w:val="000000"/>
          <w:sz w:val="24"/>
          <w:szCs w:val="24"/>
        </w:rPr>
        <w:t xml:space="preserve">Activo e impacto: </w:t>
      </w:r>
      <w:r>
        <w:rPr>
          <w:rFonts w:ascii="Arial" w:hAnsi="Arial" w:eastAsia="Arial" w:cs="Arial"/>
          <w:color w:val="000000"/>
          <w:sz w:val="24"/>
          <w:szCs w:val="24"/>
        </w:rPr>
        <w:t>A-02, A-04; Calificaciones alteradas sin autorización</w:t>
      </w:r>
    </w:p>
    <w:p>
      <w:r>
        <w:rPr>
          <w:rFonts w:ascii="Arial" w:hAnsi="Arial" w:eastAsia="Arial" w:cs="Arial"/>
          <w:b/>
          <w:color w:val="000000"/>
          <w:sz w:val="24"/>
          <w:szCs w:val="24"/>
        </w:rPr>
        <w:t xml:space="preserve">Prioridad razonada: </w:t>
      </w:r>
      <w:r>
        <w:rPr>
          <w:rFonts w:ascii="Arial" w:hAnsi="Arial" w:eastAsia="Arial" w:cs="Arial"/>
          <w:color w:val="000000"/>
          <w:sz w:val="24"/>
          <w:szCs w:val="24"/>
        </w:rPr>
        <w:t>Alta: rompe integridad y separación de funciones</w:t>
      </w:r>
    </w:p>
    <w:p>
      <w:pPr>
        <w:pStyle w:val="Heading3"/>
        <w:keepNext/>
        <w:widowControl/>
      </w:pPr>
      <w:r>
        <w:rPr>
          <w:rFonts w:ascii="Arial" w:hAnsi="Arial" w:eastAsia="Arial" w:cs="Arial"/>
          <w:b/>
          <w:color w:val="000000"/>
          <w:sz w:val="24"/>
          <w:szCs w:val="24"/>
        </w:rPr>
        <w:t>R-03</w:t>
      </w:r>
    </w:p>
    <w:p>
      <w:pPr>
        <w:keepNext/>
      </w:pPr>
      <w:r>
        <w:rPr>
          <w:rFonts w:ascii="Arial" w:hAnsi="Arial" w:eastAsia="Arial" w:cs="Arial"/>
          <w:b/>
          <w:color w:val="000000"/>
          <w:sz w:val="24"/>
          <w:szCs w:val="24"/>
        </w:rPr>
        <w:t xml:space="preserve">Actor y abuso: </w:t>
      </w:r>
      <w:r>
        <w:rPr>
          <w:rFonts w:ascii="Arial" w:hAnsi="Arial" w:eastAsia="Arial" w:cs="Arial"/>
          <w:color w:val="000000"/>
          <w:sz w:val="24"/>
          <w:szCs w:val="24"/>
        </w:rPr>
        <w:t>Portador reutiliza una sesión revocada o vencida</w:t>
      </w:r>
    </w:p>
    <w:p>
      <w:pPr>
        <w:keepNext/>
      </w:pPr>
      <w:r>
        <w:rPr>
          <w:rFonts w:ascii="Arial" w:hAnsi="Arial" w:eastAsia="Arial" w:cs="Arial"/>
          <w:b/>
          <w:color w:val="000000"/>
          <w:sz w:val="24"/>
          <w:szCs w:val="24"/>
        </w:rPr>
        <w:t xml:space="preserve">Activo e impacto: </w:t>
      </w:r>
      <w:r>
        <w:rPr>
          <w:rFonts w:ascii="Arial" w:hAnsi="Arial" w:eastAsia="Arial" w:cs="Arial"/>
          <w:color w:val="000000"/>
          <w:sz w:val="24"/>
          <w:szCs w:val="24"/>
        </w:rPr>
        <w:t>A-03, A-01; Acceso que debía haber terminado</w:t>
      </w:r>
    </w:p>
    <w:p>
      <w:r>
        <w:rPr>
          <w:rFonts w:ascii="Arial" w:hAnsi="Arial" w:eastAsia="Arial" w:cs="Arial"/>
          <w:b/>
          <w:color w:val="000000"/>
          <w:sz w:val="24"/>
          <w:szCs w:val="24"/>
        </w:rPr>
        <w:t xml:space="preserve">Prioridad razonada: </w:t>
      </w:r>
      <w:r>
        <w:rPr>
          <w:rFonts w:ascii="Arial" w:hAnsi="Arial" w:eastAsia="Arial" w:cs="Arial"/>
          <w:color w:val="000000"/>
          <w:sz w:val="24"/>
          <w:szCs w:val="24"/>
        </w:rPr>
        <w:t>Alta: la sesión inválida conserva acceso protegido</w:t>
      </w:r>
    </w:p>
    <w:p>
      <w:pPr>
        <w:pStyle w:val="Heading3"/>
        <w:keepNext/>
        <w:widowControl/>
      </w:pPr>
      <w:r>
        <w:rPr>
          <w:rFonts w:ascii="Arial" w:hAnsi="Arial" w:eastAsia="Arial" w:cs="Arial"/>
          <w:b/>
          <w:color w:val="000000"/>
          <w:sz w:val="24"/>
          <w:szCs w:val="24"/>
        </w:rPr>
        <w:t>R-04</w:t>
      </w:r>
    </w:p>
    <w:p>
      <w:pPr>
        <w:keepNext/>
      </w:pPr>
      <w:r>
        <w:rPr>
          <w:rFonts w:ascii="Arial" w:hAnsi="Arial" w:eastAsia="Arial" w:cs="Arial"/>
          <w:b/>
          <w:color w:val="000000"/>
          <w:sz w:val="24"/>
          <w:szCs w:val="24"/>
        </w:rPr>
        <w:t xml:space="preserve">Actor y abuso: </w:t>
      </w:r>
      <w:r>
        <w:rPr>
          <w:rFonts w:ascii="Arial" w:hAnsi="Arial" w:eastAsia="Arial" w:cs="Arial"/>
          <w:color w:val="000000"/>
          <w:sz w:val="24"/>
          <w:szCs w:val="24"/>
        </w:rPr>
        <w:t>Docente o cliente envía una nota fuera de rango o con tipo inválido</w:t>
      </w:r>
    </w:p>
    <w:p>
      <w:pPr>
        <w:keepNext/>
      </w:pPr>
      <w:r>
        <w:rPr>
          <w:rFonts w:ascii="Arial" w:hAnsi="Arial" w:eastAsia="Arial" w:cs="Arial"/>
          <w:b/>
          <w:color w:val="000000"/>
          <w:sz w:val="24"/>
          <w:szCs w:val="24"/>
        </w:rPr>
        <w:t xml:space="preserve">Activo e impacto: </w:t>
      </w:r>
      <w:r>
        <w:rPr>
          <w:rFonts w:ascii="Arial" w:hAnsi="Arial" w:eastAsia="Arial" w:cs="Arial"/>
          <w:color w:val="000000"/>
          <w:sz w:val="24"/>
          <w:szCs w:val="24"/>
        </w:rPr>
        <w:t>A-02; Persistencia de datos académicos inválidos</w:t>
      </w:r>
    </w:p>
    <w:p>
      <w:r>
        <w:rPr>
          <w:rFonts w:ascii="Arial" w:hAnsi="Arial" w:eastAsia="Arial" w:cs="Arial"/>
          <w:b/>
          <w:color w:val="000000"/>
          <w:sz w:val="24"/>
          <w:szCs w:val="24"/>
        </w:rPr>
        <w:t xml:space="preserve">Prioridad razonada: </w:t>
      </w:r>
      <w:r>
        <w:rPr>
          <w:rFonts w:ascii="Arial" w:hAnsi="Arial" w:eastAsia="Arial" w:cs="Arial"/>
          <w:color w:val="000000"/>
          <w:sz w:val="24"/>
          <w:szCs w:val="24"/>
        </w:rPr>
        <w:t>Alta: compromete la integridad del expediente</w:t>
      </w:r>
    </w:p>
    <w:p>
      <w:pPr>
        <w:pStyle w:val="Heading3"/>
        <w:keepNext/>
        <w:widowControl/>
      </w:pPr>
      <w:r>
        <w:rPr>
          <w:rFonts w:ascii="Arial" w:hAnsi="Arial" w:eastAsia="Arial" w:cs="Arial"/>
          <w:b/>
          <w:color w:val="000000"/>
          <w:sz w:val="24"/>
          <w:szCs w:val="24"/>
        </w:rPr>
        <w:t>R-05</w:t>
      </w:r>
    </w:p>
    <w:p>
      <w:pPr>
        <w:keepNext/>
      </w:pPr>
      <w:r>
        <w:rPr>
          <w:rFonts w:ascii="Arial" w:hAnsi="Arial" w:eastAsia="Arial" w:cs="Arial"/>
          <w:b/>
          <w:color w:val="000000"/>
          <w:sz w:val="24"/>
          <w:szCs w:val="24"/>
        </w:rPr>
        <w:t xml:space="preserve">Actor y abuso: </w:t>
      </w:r>
      <w:r>
        <w:rPr>
          <w:rFonts w:ascii="Arial" w:hAnsi="Arial" w:eastAsia="Arial" w:cs="Arial"/>
          <w:color w:val="000000"/>
          <w:sz w:val="24"/>
          <w:szCs w:val="24"/>
        </w:rPr>
        <w:t>Persona con acceso a registros obtiene tokens o no puede atribuir una acción</w:t>
      </w:r>
    </w:p>
    <w:p>
      <w:pPr>
        <w:keepNext/>
      </w:pPr>
      <w:r>
        <w:rPr>
          <w:rFonts w:ascii="Arial" w:hAnsi="Arial" w:eastAsia="Arial" w:cs="Arial"/>
          <w:b/>
          <w:color w:val="000000"/>
          <w:sz w:val="24"/>
          <w:szCs w:val="24"/>
        </w:rPr>
        <w:t xml:space="preserve">Activo e impacto: </w:t>
      </w:r>
      <w:r>
        <w:rPr>
          <w:rFonts w:ascii="Arial" w:hAnsi="Arial" w:eastAsia="Arial" w:cs="Arial"/>
          <w:color w:val="000000"/>
          <w:sz w:val="24"/>
          <w:szCs w:val="24"/>
        </w:rPr>
        <w:t>A-05, A-03; Reutilización de sesión y trazabilidad insuficiente</w:t>
      </w:r>
    </w:p>
    <w:p>
      <w:r>
        <w:rPr>
          <w:rFonts w:ascii="Arial" w:hAnsi="Arial" w:eastAsia="Arial" w:cs="Arial"/>
          <w:b/>
          <w:color w:val="000000"/>
          <w:sz w:val="24"/>
          <w:szCs w:val="24"/>
        </w:rPr>
        <w:t xml:space="preserve">Prioridad razonada: </w:t>
      </w:r>
      <w:r>
        <w:rPr>
          <w:rFonts w:ascii="Arial" w:hAnsi="Arial" w:eastAsia="Arial" w:cs="Arial"/>
          <w:color w:val="000000"/>
          <w:sz w:val="24"/>
          <w:szCs w:val="24"/>
        </w:rPr>
        <w:t>Alta: la bitácora no debe transformarse en un almacén de credenciales</w:t>
      </w:r>
    </w:p>
    <w:p>
      <w:pPr>
        <w:pStyle w:val="Heading1"/>
        <w:pageBreakBefore/>
        <w:widowControl/>
      </w:pPr>
      <w:bookmarkStart w:id="3" w:name="informe_seccion_3"/>
      <w:r>
        <w:rPr>
          <w:rFonts w:ascii="Arial" w:hAnsi="Arial" w:eastAsia="Arial" w:cs="Arial"/>
          <w:b/>
          <w:color w:val="000000"/>
          <w:sz w:val="24"/>
          <w:szCs w:val="24"/>
        </w:rPr>
        <w:t>3 Requisitos verificables criterios de aceptación y matriz de trazabilidad</w:t>
      </w:r>
      <w:bookmarkEnd w:id="3"/>
    </w:p>
    <w:p>
      <w:pPr>
        <w:pStyle w:val="Heading2"/>
        <w:widowControl/>
      </w:pPr>
      <w:r>
        <w:rPr>
          <w:rFonts w:ascii="Arial" w:hAnsi="Arial" w:eastAsia="Arial" w:cs="Arial"/>
          <w:b/>
          <w:color w:val="000000"/>
          <w:sz w:val="24"/>
          <w:szCs w:val="24"/>
        </w:rPr>
        <w:t>3 1 Requisitos verificables</w:t>
      </w:r>
    </w:p>
    <w:p>
      <w:pPr>
        <w:pStyle w:val="Heading3"/>
        <w:keepNext/>
        <w:widowControl/>
      </w:pPr>
      <w:r>
        <w:rPr>
          <w:rFonts w:ascii="Arial" w:hAnsi="Arial" w:eastAsia="Arial" w:cs="Arial"/>
          <w:b/>
          <w:color w:val="000000"/>
          <w:sz w:val="24"/>
          <w:szCs w:val="24"/>
        </w:rPr>
        <w:t>SEC-01</w:t>
      </w:r>
    </w:p>
    <w:p>
      <w:pPr>
        <w:keepNext/>
      </w:pPr>
      <w:r>
        <w:rPr>
          <w:rFonts w:ascii="Arial" w:hAnsi="Arial" w:eastAsia="Arial" w:cs="Arial"/>
          <w:b/>
          <w:color w:val="000000"/>
          <w:sz w:val="24"/>
          <w:szCs w:val="24"/>
        </w:rPr>
        <w:t xml:space="preserve">Requisito: </w:t>
      </w:r>
      <w:r>
        <w:rPr>
          <w:rFonts w:ascii="Arial" w:hAnsi="Arial" w:eastAsia="Arial" w:cs="Arial"/>
          <w:color w:val="000000"/>
          <w:sz w:val="24"/>
          <w:szCs w:val="24"/>
        </w:rPr>
        <w:t>Con sesión válida, estudiante lee solo su expediente, docente solo su sede y administrador ambas sedes. Lectura permitida: 200 y datos correctos. Otras lecturas: 403 sin datos protegidos y sin alterar expedientes.</w:t>
      </w:r>
    </w:p>
    <w:p>
      <w:r>
        <w:rPr>
          <w:rFonts w:ascii="Arial" w:hAnsi="Arial" w:eastAsia="Arial" w:cs="Arial"/>
          <w:b/>
          <w:color w:val="000000"/>
          <w:sz w:val="24"/>
          <w:szCs w:val="24"/>
        </w:rPr>
        <w:t xml:space="preserve">Responsable: </w:t>
      </w:r>
      <w:r>
        <w:rPr>
          <w:rFonts w:ascii="Arial" w:hAnsi="Arial" w:eastAsia="Arial" w:cs="Arial"/>
          <w:color w:val="000000"/>
          <w:sz w:val="24"/>
          <w:szCs w:val="24"/>
        </w:rPr>
        <w:t>Wilberth</w:t>
      </w:r>
    </w:p>
    <w:p>
      <w:pPr>
        <w:pStyle w:val="Heading3"/>
        <w:keepNext/>
        <w:widowControl/>
      </w:pPr>
      <w:r>
        <w:rPr>
          <w:rFonts w:ascii="Arial" w:hAnsi="Arial" w:eastAsia="Arial" w:cs="Arial"/>
          <w:b/>
          <w:color w:val="000000"/>
          <w:sz w:val="24"/>
          <w:szCs w:val="24"/>
        </w:rPr>
        <w:t>SEC-02</w:t>
      </w:r>
    </w:p>
    <w:p>
      <w:pPr>
        <w:keepNext/>
      </w:pPr>
      <w:r>
        <w:rPr>
          <w:rFonts w:ascii="Arial" w:hAnsi="Arial" w:eastAsia="Arial" w:cs="Arial"/>
          <w:b/>
          <w:color w:val="000000"/>
          <w:sz w:val="24"/>
          <w:szCs w:val="24"/>
        </w:rPr>
        <w:t xml:space="preserve">Requisito: </w:t>
      </w:r>
      <w:r>
        <w:rPr>
          <w:rFonts w:ascii="Arial" w:hAnsi="Arial" w:eastAsia="Arial" w:cs="Arial"/>
          <w:color w:val="000000"/>
          <w:sz w:val="24"/>
          <w:szCs w:val="24"/>
        </w:rPr>
        <w:t>Solo un docente de la misma sede puede modificar notas. Permitir con 200 y persistencia del valor; denegar a estudiante, administrador y docente de otra sede con 403 y expedientes intactos.</w:t>
      </w:r>
    </w:p>
    <w:p>
      <w:r>
        <w:rPr>
          <w:rFonts w:ascii="Arial" w:hAnsi="Arial" w:eastAsia="Arial" w:cs="Arial"/>
          <w:b/>
          <w:color w:val="000000"/>
          <w:sz w:val="24"/>
          <w:szCs w:val="24"/>
        </w:rPr>
        <w:t xml:space="preserve">Responsable: </w:t>
      </w:r>
      <w:r>
        <w:rPr>
          <w:rFonts w:ascii="Arial" w:hAnsi="Arial" w:eastAsia="Arial" w:cs="Arial"/>
          <w:color w:val="000000"/>
          <w:sz w:val="24"/>
          <w:szCs w:val="24"/>
        </w:rPr>
        <w:t>Jania; Wilberth prueba denegaciones de estudiante/admin</w:t>
      </w:r>
    </w:p>
    <w:p>
      <w:pPr>
        <w:pStyle w:val="Heading3"/>
        <w:keepNext/>
        <w:widowControl/>
      </w:pPr>
      <w:r>
        <w:rPr>
          <w:rFonts w:ascii="Arial" w:hAnsi="Arial" w:eastAsia="Arial" w:cs="Arial"/>
          <w:b/>
          <w:color w:val="000000"/>
          <w:sz w:val="24"/>
          <w:szCs w:val="24"/>
        </w:rPr>
        <w:t>SEC-03</w:t>
      </w:r>
    </w:p>
    <w:p>
      <w:pPr>
        <w:keepNext/>
      </w:pPr>
      <w:r>
        <w:rPr>
          <w:rFonts w:ascii="Arial" w:hAnsi="Arial" w:eastAsia="Arial" w:cs="Arial"/>
          <w:b/>
          <w:color w:val="000000"/>
          <w:sz w:val="24"/>
          <w:szCs w:val="24"/>
        </w:rPr>
        <w:t xml:space="preserve">Requisito: </w:t>
      </w:r>
      <w:r>
        <w:rPr>
          <w:rFonts w:ascii="Arial" w:hAnsi="Arial" w:eastAsia="Arial" w:cs="Arial"/>
          <w:color w:val="000000"/>
          <w:sz w:val="24"/>
          <w:szCs w:val="24"/>
        </w:rPr>
        <w:t>Lectura y modificación con sesión ausente, desconocida, revocada o expirada devuelven 401, sin datos protegidos ni cambios en expedientes.</w:t>
      </w:r>
    </w:p>
    <w:p>
      <w:r>
        <w:rPr>
          <w:rFonts w:ascii="Arial" w:hAnsi="Arial" w:eastAsia="Arial" w:cs="Arial"/>
          <w:b/>
          <w:color w:val="000000"/>
          <w:sz w:val="24"/>
          <w:szCs w:val="24"/>
        </w:rPr>
        <w:t xml:space="preserve">Responsable: </w:t>
      </w:r>
      <w:r>
        <w:rPr>
          <w:rFonts w:ascii="Arial" w:hAnsi="Arial" w:eastAsia="Arial" w:cs="Arial"/>
          <w:color w:val="000000"/>
          <w:sz w:val="24"/>
          <w:szCs w:val="24"/>
        </w:rPr>
        <w:t>Jania</w:t>
      </w:r>
    </w:p>
    <w:p>
      <w:pPr>
        <w:pStyle w:val="Heading3"/>
        <w:keepNext/>
        <w:widowControl/>
      </w:pPr>
      <w:r>
        <w:rPr>
          <w:rFonts w:ascii="Arial" w:hAnsi="Arial" w:eastAsia="Arial" w:cs="Arial"/>
          <w:b/>
          <w:color w:val="000000"/>
          <w:sz w:val="24"/>
          <w:szCs w:val="24"/>
        </w:rPr>
        <w:t>SEC-04</w:t>
      </w:r>
    </w:p>
    <w:p>
      <w:pPr>
        <w:keepNext/>
      </w:pPr>
      <w:r>
        <w:rPr>
          <w:rFonts w:ascii="Arial" w:hAnsi="Arial" w:eastAsia="Arial" w:cs="Arial"/>
          <w:b/>
          <w:color w:val="000000"/>
          <w:sz w:val="24"/>
          <w:szCs w:val="24"/>
        </w:rPr>
        <w:t xml:space="preserve">Requisito: </w:t>
      </w:r>
      <w:r>
        <w:rPr>
          <w:rFonts w:ascii="Arial" w:hAnsi="Arial" w:eastAsia="Arial" w:cs="Arial"/>
          <w:color w:val="000000"/>
          <w:sz w:val="24"/>
          <w:szCs w:val="24"/>
        </w:rPr>
        <w:t>Aceptar únicamente int/float que no sean bool y estén entre 0 y 100 inclusive. Rechazar valores fuera de rango, no finitos y tipos inválidos con 400 sin persistir. Comparar el rango sin convertir enteros grandes a float.</w:t>
      </w:r>
    </w:p>
    <w:p>
      <w:r>
        <w:rPr>
          <w:rFonts w:ascii="Arial" w:hAnsi="Arial" w:eastAsia="Arial" w:cs="Arial"/>
          <w:b/>
          <w:color w:val="000000"/>
          <w:sz w:val="24"/>
          <w:szCs w:val="24"/>
        </w:rPr>
        <w:t xml:space="preserve">Responsable: </w:t>
      </w:r>
      <w:r>
        <w:rPr>
          <w:rFonts w:ascii="Arial" w:hAnsi="Arial" w:eastAsia="Arial" w:cs="Arial"/>
          <w:color w:val="000000"/>
          <w:sz w:val="24"/>
          <w:szCs w:val="24"/>
        </w:rPr>
        <w:t>Wilberth; Jania prueba los extremos válidos por HTTP</w:t>
      </w:r>
    </w:p>
    <w:p>
      <w:pPr>
        <w:pStyle w:val="Heading3"/>
        <w:keepNext/>
        <w:widowControl/>
      </w:pPr>
      <w:r>
        <w:rPr>
          <w:rFonts w:ascii="Arial" w:hAnsi="Arial" w:eastAsia="Arial" w:cs="Arial"/>
          <w:b/>
          <w:color w:val="000000"/>
          <w:sz w:val="24"/>
          <w:szCs w:val="24"/>
        </w:rPr>
        <w:t>SEC-05</w:t>
      </w:r>
    </w:p>
    <w:p>
      <w:pPr>
        <w:keepNext/>
      </w:pPr>
      <w:r>
        <w:rPr>
          <w:rFonts w:ascii="Arial" w:hAnsi="Arial" w:eastAsia="Arial" w:cs="Arial"/>
          <w:b/>
          <w:color w:val="000000"/>
          <w:sz w:val="24"/>
          <w:szCs w:val="24"/>
        </w:rPr>
        <w:t xml:space="preserve">Requisito: </w:t>
      </w:r>
      <w:r>
        <w:rPr>
          <w:rFonts w:ascii="Arial" w:hAnsi="Arial" w:eastAsia="Arial" w:cs="Arial"/>
          <w:color w:val="000000"/>
          <w:sz w:val="24"/>
          <w:szCs w:val="24"/>
        </w:rPr>
        <w:t>Una respuesta denegada por sesión o permiso no incluye id, estudiante, sede ni nota, ni identifica al titular ajeno. Una operación rechazada conserva los expedientes.</w:t>
      </w:r>
    </w:p>
    <w:p>
      <w:r>
        <w:rPr>
          <w:rFonts w:ascii="Arial" w:hAnsi="Arial" w:eastAsia="Arial" w:cs="Arial"/>
          <w:b/>
          <w:color w:val="000000"/>
          <w:sz w:val="24"/>
          <w:szCs w:val="24"/>
        </w:rPr>
        <w:t xml:space="preserve">Responsable: </w:t>
      </w:r>
      <w:r>
        <w:rPr>
          <w:rFonts w:ascii="Arial" w:hAnsi="Arial" w:eastAsia="Arial" w:cs="Arial"/>
          <w:color w:val="000000"/>
          <w:sz w:val="24"/>
          <w:szCs w:val="24"/>
        </w:rPr>
        <w:t>Wilberth, con verificación de sesiones por Jania</w:t>
      </w:r>
    </w:p>
    <w:p>
      <w:pPr>
        <w:pStyle w:val="Heading3"/>
        <w:keepNext/>
        <w:widowControl/>
      </w:pPr>
      <w:r>
        <w:rPr>
          <w:rFonts w:ascii="Arial" w:hAnsi="Arial" w:eastAsia="Arial" w:cs="Arial"/>
          <w:b/>
          <w:color w:val="000000"/>
          <w:sz w:val="24"/>
          <w:szCs w:val="24"/>
        </w:rPr>
        <w:t>SEC-06</w:t>
      </w:r>
    </w:p>
    <w:p>
      <w:pPr>
        <w:keepNext/>
      </w:pPr>
      <w:r>
        <w:rPr>
          <w:rFonts w:ascii="Arial" w:hAnsi="Arial" w:eastAsia="Arial" w:cs="Arial"/>
          <w:b/>
          <w:color w:val="000000"/>
          <w:sz w:val="24"/>
          <w:szCs w:val="24"/>
        </w:rPr>
        <w:t xml:space="preserve">Requisito: </w:t>
      </w:r>
      <w:r>
        <w:rPr>
          <w:rFonts w:ascii="Arial" w:hAnsi="Arial" w:eastAsia="Arial" w:cs="Arial"/>
          <w:color w:val="000000"/>
          <w:sz w:val="24"/>
          <w:szCs w:val="24"/>
        </w:rPr>
        <w:t>Cada lectura y actualización permitida registra acción, identidad del usuario e identificador del expediente, sin almacenar token ni su valor.</w:t>
      </w:r>
    </w:p>
    <w:p>
      <w:r>
        <w:rPr>
          <w:rFonts w:ascii="Arial" w:hAnsi="Arial" w:eastAsia="Arial" w:cs="Arial"/>
          <w:b/>
          <w:color w:val="000000"/>
          <w:sz w:val="24"/>
          <w:szCs w:val="24"/>
        </w:rPr>
        <w:t xml:space="preserve">Responsable: </w:t>
      </w:r>
      <w:r>
        <w:rPr>
          <w:rFonts w:ascii="Arial" w:hAnsi="Arial" w:eastAsia="Arial" w:cs="Arial"/>
          <w:color w:val="000000"/>
          <w:sz w:val="24"/>
          <w:szCs w:val="24"/>
        </w:rPr>
        <w:t>Compartido: Wilberth lectura; Jania actualización</w:t>
      </w:r>
    </w:p>
    <w:p>
      <w:pPr>
        <w:pStyle w:val="Heading2"/>
        <w:widowControl/>
      </w:pPr>
      <w:r>
        <w:rPr>
          <w:rFonts w:ascii="Arial" w:hAnsi="Arial" w:eastAsia="Arial" w:cs="Arial"/>
          <w:b/>
          <w:color w:val="000000"/>
          <w:sz w:val="24"/>
          <w:szCs w:val="24"/>
        </w:rPr>
        <w:t>3 2 Criterios de aceptación</w:t>
      </w:r>
    </w:p>
    <w:p>
      <w:pPr>
        <w:widowControl/>
      </w:pPr>
      <w:r>
        <w:rPr>
          <w:rFonts w:ascii="Arial" w:hAnsi="Arial" w:eastAsia="Arial" w:cs="Arial"/>
          <w:b w:val="0"/>
          <w:color w:val="000000"/>
          <w:sz w:val="24"/>
          <w:szCs w:val="24"/>
        </w:rPr>
        <w:t>CA-01 / SEC-01, SEC-05. Dada Ana con sesión válida y el expediente 202 de Luis, cuando solicita ese expediente, entonces recibe 403 sin campos protegidos ni nombre de Luis y todos los expedientes permanecen intactos.</w:t>
      </w:r>
    </w:p>
    <w:p>
      <w:pPr>
        <w:widowControl/>
      </w:pPr>
      <w:r>
        <w:rPr>
          <w:rFonts w:ascii="Arial" w:hAnsi="Arial" w:eastAsia="Arial" w:cs="Arial"/>
          <w:b w:val="0"/>
          <w:color w:val="000000"/>
          <w:sz w:val="24"/>
          <w:szCs w:val="24"/>
        </w:rPr>
        <w:t>CA-02 / SEC-02. Dada María, docente de Central, y el expediente 202 de Pacífico con nota 91, cuando intenta cambiar su nota a 70, entonces recibe 403 sin datos protegidos y la nota y demás campos siguen iguales.</w:t>
      </w:r>
    </w:p>
    <w:p>
      <w:pPr>
        <w:widowControl/>
      </w:pPr>
      <w:r>
        <w:rPr>
          <w:rFonts w:ascii="Arial" w:hAnsi="Arial" w:eastAsia="Arial" w:cs="Arial"/>
          <w:b w:val="0"/>
          <w:color w:val="000000"/>
          <w:sz w:val="24"/>
          <w:szCs w:val="24"/>
        </w:rPr>
        <w:t>CA-03 / SEC-03. Dada una sesión revocada, cuando solicita una lectura o modificación protegida, entonces recibe 401 sin datos protegidos y los expedientes no cambian.</w:t>
      </w:r>
    </w:p>
    <w:p>
      <w:pPr>
        <w:widowControl/>
      </w:pPr>
      <w:r>
        <w:rPr>
          <w:rFonts w:ascii="Arial" w:hAnsi="Arial" w:eastAsia="Arial" w:cs="Arial"/>
          <w:b w:val="0"/>
          <w:color w:val="000000"/>
          <w:sz w:val="24"/>
          <w:szCs w:val="24"/>
        </w:rPr>
        <w:t>CA-04 / SEC-04. Dada María con sesión válida y la nota inicial 82 del expediente 101, cuando envía -1, 101, texto, true o un entero muy grande, entonces recibe 400 y el expediente conserva su estado. Los límites 0 y 100 se aceptan y persisten al verificarlos en el bloque de Jania.</w:t>
      </w:r>
    </w:p>
    <w:p>
      <w:pPr>
        <w:pStyle w:val="Heading2"/>
        <w:widowControl/>
      </w:pPr>
      <w:r>
        <w:rPr>
          <w:rFonts w:ascii="Arial" w:hAnsi="Arial" w:eastAsia="Arial" w:cs="Arial"/>
          <w:b/>
          <w:color w:val="000000"/>
          <w:sz w:val="24"/>
          <w:szCs w:val="24"/>
        </w:rPr>
        <w:t>3 3 Matriz de trazabilidad</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224"/>
        <w:gridCol w:w="1440"/>
        <w:gridCol w:w="3744"/>
        <w:gridCol w:w="2952"/>
      </w:tblGrid>
      <w:tr>
        <w:trPr>
          <w:cantSplit/>
          <w:tblHeader/>
        </w:trPr>
        <w:tc>
          <w:tcPr>
            <w:tcW w:type="dxa" w:w="1224"/>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color w:val="000000"/>
                <w:sz w:val="24"/>
                <w:szCs w:val="24"/>
              </w:rPr>
              <w:t>ID SEC</w:t>
            </w:r>
          </w:p>
        </w:tc>
        <w:tc>
          <w:tcPr>
            <w:tcW w:type="dxa" w:w="1440"/>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color w:val="000000"/>
                <w:sz w:val="24"/>
                <w:szCs w:val="24"/>
              </w:rPr>
              <w:t>Riesgos</w:t>
            </w:r>
          </w:p>
        </w:tc>
        <w:tc>
          <w:tcPr>
            <w:tcW w:type="dxa" w:w="3744"/>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color w:val="000000"/>
                <w:sz w:val="24"/>
                <w:szCs w:val="24"/>
              </w:rPr>
              <w:t>Casos</w:t>
            </w:r>
          </w:p>
        </w:tc>
        <w:tc>
          <w:tcPr>
            <w:tcW w:type="dxa" w:w="2952"/>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color w:val="000000"/>
                <w:sz w:val="24"/>
                <w:szCs w:val="24"/>
              </w:rPr>
              <w:t>Evidencia prevista</w:t>
            </w:r>
          </w:p>
        </w:tc>
      </w:tr>
      <w:tr>
        <w:trPr>
          <w:cantSplit/>
        </w:trPr>
        <w:tc>
          <w:tcPr>
            <w:tcW w:type="dxa" w:w="1224"/>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SEC-01</w:t>
            </w:r>
          </w:p>
        </w:tc>
        <w:tc>
          <w:tcPr>
            <w:tcW w:type="dxa" w:w="1440"/>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R-01</w:t>
            </w:r>
          </w:p>
        </w:tc>
        <w:tc>
          <w:tcPr>
            <w:tcW w:type="dxa" w:w="3744"/>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TC-01 TC-03 TC-04 TC-05</w:t>
            </w:r>
          </w:p>
        </w:tc>
        <w:tc>
          <w:tcPr>
            <w:tcW w:type="dxa" w:w="2952"/>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Unidad y HTTP de lectura</w:t>
            </w:r>
          </w:p>
        </w:tc>
      </w:tr>
      <w:tr>
        <w:trPr>
          <w:cantSplit/>
        </w:trPr>
        <w:tc>
          <w:tcPr>
            <w:tcW w:type="dxa" w:w="1224"/>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SEC-02</w:t>
            </w:r>
          </w:p>
        </w:tc>
        <w:tc>
          <w:tcPr>
            <w:tcW w:type="dxa" w:w="1440"/>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R-02</w:t>
            </w:r>
          </w:p>
        </w:tc>
        <w:tc>
          <w:tcPr>
            <w:tcW w:type="dxa" w:w="3744"/>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TC-02 TC-06 TC-07 TC-10 TC-11</w:t>
            </w:r>
          </w:p>
        </w:tc>
        <w:tc>
          <w:tcPr>
            <w:tcW w:type="dxa" w:w="2952"/>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Persistencia y denegaciones</w:t>
            </w:r>
          </w:p>
        </w:tc>
      </w:tr>
      <w:tr>
        <w:trPr>
          <w:cantSplit/>
        </w:trPr>
        <w:tc>
          <w:tcPr>
            <w:tcW w:type="dxa" w:w="1224"/>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SEC-03</w:t>
            </w:r>
          </w:p>
        </w:tc>
        <w:tc>
          <w:tcPr>
            <w:tcW w:type="dxa" w:w="1440"/>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R-03</w:t>
            </w:r>
          </w:p>
        </w:tc>
        <w:tc>
          <w:tcPr>
            <w:tcW w:type="dxa" w:w="3744"/>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TC-08 TC-09</w:t>
            </w:r>
          </w:p>
        </w:tc>
        <w:tc>
          <w:tcPr>
            <w:tcW w:type="dxa" w:w="2952"/>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TDD de sesión y HTTP</w:t>
            </w:r>
          </w:p>
        </w:tc>
      </w:tr>
      <w:tr>
        <w:trPr>
          <w:cantSplit/>
        </w:trPr>
        <w:tc>
          <w:tcPr>
            <w:tcW w:type="dxa" w:w="1224"/>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SEC-04</w:t>
            </w:r>
          </w:p>
        </w:tc>
        <w:tc>
          <w:tcPr>
            <w:tcW w:type="dxa" w:w="1440"/>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R-04</w:t>
            </w:r>
          </w:p>
        </w:tc>
        <w:tc>
          <w:tcPr>
            <w:tcW w:type="dxa" w:w="3744"/>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TC-02 TC-10 TC-11 TC-12</w:t>
            </w:r>
          </w:p>
        </w:tc>
        <w:tc>
          <w:tcPr>
            <w:tcW w:type="dxa" w:w="2952"/>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Límites y entradas inválidas</w:t>
            </w:r>
          </w:p>
        </w:tc>
      </w:tr>
      <w:tr>
        <w:trPr>
          <w:cantSplit/>
        </w:trPr>
        <w:tc>
          <w:tcPr>
            <w:tcW w:type="dxa" w:w="1224"/>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SEC-05</w:t>
            </w:r>
          </w:p>
        </w:tc>
        <w:tc>
          <w:tcPr>
            <w:tcW w:type="dxa" w:w="1440"/>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R-01</w:t>
              <w:br/>
              <w:t>R-02</w:t>
              <w:br/>
              <w:t>R-03</w:t>
            </w:r>
          </w:p>
        </w:tc>
        <w:tc>
          <w:tcPr>
            <w:tcW w:type="dxa" w:w="3744"/>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TC-04 TC-05 TC-06 TC-07 TC-08 TC-09</w:t>
            </w:r>
          </w:p>
        </w:tc>
        <w:tc>
          <w:tcPr>
            <w:tcW w:type="dxa" w:w="2952"/>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Respuesta y estado</w:t>
            </w:r>
          </w:p>
        </w:tc>
      </w:tr>
      <w:tr>
        <w:trPr>
          <w:cantSplit/>
        </w:trPr>
        <w:tc>
          <w:tcPr>
            <w:tcW w:type="dxa" w:w="1224"/>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SEC-06</w:t>
            </w:r>
          </w:p>
        </w:tc>
        <w:tc>
          <w:tcPr>
            <w:tcW w:type="dxa" w:w="1440"/>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R-05</w:t>
            </w:r>
          </w:p>
        </w:tc>
        <w:tc>
          <w:tcPr>
            <w:tcW w:type="dxa" w:w="3744"/>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TC-01 TC-02 TC-03 TC-10 TC-11</w:t>
            </w:r>
          </w:p>
        </w:tc>
        <w:tc>
          <w:tcPr>
            <w:tcW w:type="dxa" w:w="2952"/>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Eventos sin tokens</w:t>
            </w:r>
          </w:p>
        </w:tc>
      </w:tr>
    </w:tbl>
    <w:p>
      <w:pPr>
        <w:widowControl/>
      </w:pPr>
      <w:r>
        <w:rPr>
          <w:rFonts w:ascii="Arial" w:hAnsi="Arial" w:eastAsia="Arial" w:cs="Arial"/>
          <w:b w:val="0"/>
          <w:color w:val="000000"/>
          <w:sz w:val="24"/>
          <w:szCs w:val="24"/>
        </w:rPr>
        <w:t>El anexo matriz_trazabilidad.csv contiene los diseños completos, responsables, estados y vínculos con evidencias. Los IDs coinciden con los casos de este informe y hallazgos.csv.</w:t>
      </w:r>
    </w:p>
    <w:p>
      <w:pPr>
        <w:pStyle w:val="Heading1"/>
        <w:pageBreakBefore/>
        <w:widowControl/>
      </w:pPr>
      <w:bookmarkStart w:id="4" w:name="informe_seccion_4"/>
      <w:r>
        <w:rPr>
          <w:rFonts w:ascii="Arial" w:hAnsi="Arial" w:eastAsia="Arial" w:cs="Arial"/>
          <w:b/>
          <w:color w:val="000000"/>
          <w:sz w:val="24"/>
          <w:szCs w:val="24"/>
        </w:rPr>
        <w:t>4 Diseño de los doce casos y explicación de los dos ciclos TDD</w:t>
      </w:r>
      <w:bookmarkEnd w:id="4"/>
    </w:p>
    <w:p>
      <w:pPr>
        <w:pStyle w:val="Heading2"/>
        <w:widowControl/>
      </w:pPr>
      <w:r>
        <w:rPr>
          <w:rFonts w:ascii="Arial" w:hAnsi="Arial" w:eastAsia="Arial" w:cs="Arial"/>
          <w:b/>
          <w:color w:val="000000"/>
          <w:sz w:val="24"/>
          <w:szCs w:val="24"/>
        </w:rPr>
        <w:t>4 1 Diseño de los doce casos</w:t>
      </w:r>
    </w:p>
    <w:p>
      <w:pPr>
        <w:widowControl/>
      </w:pPr>
      <w:r>
        <w:rPr>
          <w:rFonts w:ascii="Arial" w:hAnsi="Arial" w:eastAsia="Arial" w:cs="Arial"/>
          <w:b w:val="0"/>
          <w:color w:val="000000"/>
          <w:sz w:val="24"/>
          <w:szCs w:val="24"/>
        </w:rPr>
        <w:t>Se planifican 3 casos positivos, 6 negativos y 3 de frontera. El mínimo de 8 automatizados y 4 HTTP manuales se completará al integrar ambos bloques. Las variantes no se contabilizan como casos adicionales.</w:t>
      </w:r>
    </w:p>
    <w:p>
      <w:pPr>
        <w:pStyle w:val="Heading3"/>
        <w:keepNext/>
        <w:widowControl/>
      </w:pPr>
      <w:r>
        <w:rPr>
          <w:rFonts w:ascii="Arial" w:hAnsi="Arial" w:eastAsia="Arial" w:cs="Arial"/>
          <w:b/>
          <w:color w:val="000000"/>
          <w:sz w:val="24"/>
          <w:szCs w:val="24"/>
        </w:rPr>
        <w:t>TC-01 Estudiante lee su expediente con auditoria segura</w:t>
      </w:r>
    </w:p>
    <w:p>
      <w:pPr>
        <w:keepNext/>
        <w:widowControl/>
      </w:pPr>
      <w:r>
        <w:rPr>
          <w:rFonts w:ascii="Arial" w:hAnsi="Arial" w:eastAsia="Arial" w:cs="Arial"/>
          <w:b w:val="0"/>
          <w:color w:val="000000"/>
          <w:sz w:val="24"/>
          <w:szCs w:val="24"/>
        </w:rPr>
        <w:t>Tipo: positivo. Modalidad: unidad automatizada. Responsable: Wilberth. Prioridad: alta.</w:t>
      </w:r>
    </w:p>
    <w:p>
      <w:pPr>
        <w:keepNext/>
        <w:widowControl/>
      </w:pPr>
      <w:r>
        <w:rPr>
          <w:rFonts w:ascii="Arial" w:hAnsi="Arial" w:eastAsia="Arial" w:cs="Arial"/>
          <w:b w:val="0"/>
          <w:color w:val="000000"/>
          <w:sz w:val="24"/>
          <w:szCs w:val="24"/>
        </w:rPr>
        <w:t>Requisitos: SEC-01;SEC-06. Riesgos: R-01;R-05.</w:t>
      </w:r>
    </w:p>
    <w:p>
      <w:r>
        <w:rPr>
          <w:rFonts w:ascii="Arial" w:hAnsi="Arial" w:eastAsia="Arial" w:cs="Arial"/>
          <w:b/>
          <w:color w:val="000000"/>
          <w:sz w:val="24"/>
          <w:szCs w:val="24"/>
        </w:rPr>
        <w:t xml:space="preserve">Precondiciones: </w:t>
      </w:r>
      <w:r>
        <w:rPr>
          <w:rFonts w:ascii="Arial" w:hAnsi="Arial" w:eastAsia="Arial" w:cs="Arial"/>
          <w:color w:val="000000"/>
          <w:sz w:val="24"/>
          <w:szCs w:val="24"/>
        </w:rPr>
        <w:t>Estado nuevo; Ana con sesion valida; 101 nota 82</w:t>
      </w:r>
    </w:p>
    <w:p>
      <w:r>
        <w:rPr>
          <w:rFonts w:ascii="Arial" w:hAnsi="Arial" w:eastAsia="Arial" w:cs="Arial"/>
          <w:b/>
          <w:color w:val="000000"/>
          <w:sz w:val="24"/>
          <w:szCs w:val="24"/>
        </w:rPr>
        <w:t xml:space="preserve">Entradas: </w:t>
      </w:r>
      <w:r>
        <w:rPr>
          <w:rFonts w:ascii="Arial" w:hAnsi="Arial" w:eastAsia="Arial" w:cs="Arial"/>
          <w:color w:val="000000"/>
          <w:sz w:val="24"/>
          <w:szCs w:val="24"/>
        </w:rPr>
        <w:t>lab-ana; expediente 101</w:t>
      </w:r>
    </w:p>
    <w:p>
      <w:r>
        <w:rPr>
          <w:rFonts w:ascii="Arial" w:hAnsi="Arial" w:eastAsia="Arial" w:cs="Arial"/>
          <w:b/>
          <w:color w:val="000000"/>
          <w:sz w:val="24"/>
          <w:szCs w:val="24"/>
        </w:rPr>
        <w:t xml:space="preserve">Pasos: </w:t>
      </w:r>
      <w:r>
        <w:rPr>
          <w:rFonts w:ascii="Arial" w:hAnsi="Arial" w:eastAsia="Arial" w:cs="Arial"/>
          <w:color w:val="000000"/>
          <w:sz w:val="24"/>
          <w:szCs w:val="24"/>
        </w:rPr>
        <w:t>Desde entrega/laboratorio_seguridad ejecutar python -m unittest discover -s tests -k tc01 -v; comparar respuesta completa y expedientes; comprobar evento de auditoria</w:t>
      </w:r>
    </w:p>
    <w:p>
      <w:r>
        <w:rPr>
          <w:rFonts w:ascii="Arial" w:hAnsi="Arial" w:eastAsia="Arial" w:cs="Arial"/>
          <w:b/>
          <w:color w:val="000000"/>
          <w:sz w:val="24"/>
          <w:szCs w:val="24"/>
        </w:rPr>
        <w:t xml:space="preserve">Esperado: </w:t>
      </w:r>
      <w:r>
        <w:rPr>
          <w:rFonts w:ascii="Arial" w:hAnsi="Arial" w:eastAsia="Arial" w:cs="Arial"/>
          <w:color w:val="000000"/>
          <w:sz w:val="24"/>
          <w:szCs w:val="24"/>
        </w:rPr>
        <w:t>200; contenido correcto; expedientes intactos; evento lectura/ana/101 sin token</w:t>
      </w:r>
    </w:p>
    <w:p>
      <w:r>
        <w:rPr>
          <w:rFonts w:ascii="Arial" w:hAnsi="Arial" w:eastAsia="Arial" w:cs="Arial"/>
          <w:b/>
          <w:color w:val="000000"/>
          <w:sz w:val="24"/>
          <w:szCs w:val="24"/>
        </w:rPr>
        <w:t xml:space="preserve">Observado: </w:t>
      </w:r>
      <w:r>
        <w:rPr>
          <w:rFonts w:ascii="Arial" w:hAnsi="Arial" w:eastAsia="Arial" w:cs="Arial"/>
          <w:color w:val="000000"/>
          <w:sz w:val="24"/>
          <w:szCs w:val="24"/>
        </w:rPr>
        <w:t>Aprobado en ambas corridas; verificado tambien por Wilberth en captura</w:t>
      </w:r>
    </w:p>
    <w:p>
      <w:r>
        <w:rPr>
          <w:rFonts w:ascii="Arial" w:hAnsi="Arial" w:eastAsia="Arial" w:cs="Arial"/>
          <w:b/>
          <w:color w:val="000000"/>
          <w:sz w:val="24"/>
          <w:szCs w:val="24"/>
        </w:rPr>
        <w:t xml:space="preserve">Estado: </w:t>
      </w:r>
      <w:r>
        <w:rPr>
          <w:rFonts w:ascii="Arial" w:hAnsi="Arial" w:eastAsia="Arial" w:cs="Arial"/>
          <w:color w:val="000000"/>
          <w:sz w:val="24"/>
          <w:szCs w:val="24"/>
        </w:rPr>
        <w:t>aprobado</w:t>
      </w:r>
    </w:p>
    <w:p>
      <w:r>
        <w:rPr>
          <w:rFonts w:ascii="Arial" w:hAnsi="Arial" w:eastAsia="Arial" w:cs="Arial"/>
          <w:b/>
          <w:color w:val="000000"/>
          <w:sz w:val="24"/>
          <w:szCs w:val="24"/>
        </w:rPr>
        <w:t xml:space="preserve">Evidencia: </w:t>
      </w:r>
      <w:r>
        <w:rPr>
          <w:rFonts w:ascii="Arial" w:hAnsi="Arial" w:eastAsia="Arial" w:cs="Arial"/>
          <w:color w:val="000000"/>
          <w:sz w:val="24"/>
          <w:szCs w:val="24"/>
        </w:rPr>
        <w:t>evidencias/wilberth_unidad_corrida1.txt; evidencias/wilberth_unidad_corrida2.txt; evidencias/verificacion_wilberth.png</w:t>
      </w:r>
    </w:p>
    <w:p>
      <w:pPr>
        <w:pStyle w:val="Heading3"/>
        <w:keepNext/>
        <w:widowControl/>
      </w:pPr>
      <w:r>
        <w:rPr>
          <w:rFonts w:ascii="Arial" w:hAnsi="Arial" w:eastAsia="Arial" w:cs="Arial"/>
          <w:b/>
          <w:color w:val="000000"/>
          <w:sz w:val="24"/>
          <w:szCs w:val="24"/>
        </w:rPr>
        <w:t>TC-02 Docente cambia una nota de su sede y registra el evento</w:t>
      </w:r>
    </w:p>
    <w:p>
      <w:pPr>
        <w:keepNext/>
        <w:widowControl/>
      </w:pPr>
      <w:r>
        <w:rPr>
          <w:rFonts w:ascii="Arial" w:hAnsi="Arial" w:eastAsia="Arial" w:cs="Arial"/>
          <w:b w:val="0"/>
          <w:color w:val="000000"/>
          <w:sz w:val="24"/>
          <w:szCs w:val="24"/>
        </w:rPr>
        <w:t>Tipo: positivo. Modalidad: unidad automatizada. Responsable: Jania. Prioridad: alta.</w:t>
      </w:r>
    </w:p>
    <w:p>
      <w:pPr>
        <w:keepNext/>
        <w:widowControl/>
      </w:pPr>
      <w:r>
        <w:rPr>
          <w:rFonts w:ascii="Arial" w:hAnsi="Arial" w:eastAsia="Arial" w:cs="Arial"/>
          <w:b w:val="0"/>
          <w:color w:val="000000"/>
          <w:sz w:val="24"/>
          <w:szCs w:val="24"/>
        </w:rPr>
        <w:t>Requisitos: SEC-02;SEC-04;SEC-06. Riesgos: R-02;R-04;R-05.</w:t>
      </w:r>
    </w:p>
    <w:p>
      <w:r>
        <w:rPr>
          <w:rFonts w:ascii="Arial" w:hAnsi="Arial" w:eastAsia="Arial" w:cs="Arial"/>
          <w:b/>
          <w:color w:val="000000"/>
          <w:sz w:val="24"/>
          <w:szCs w:val="24"/>
        </w:rPr>
        <w:t xml:space="preserve">Precondiciones: </w:t>
      </w:r>
      <w:r>
        <w:rPr>
          <w:rFonts w:ascii="Arial" w:hAnsi="Arial" w:eastAsia="Arial" w:cs="Arial"/>
          <w:color w:val="000000"/>
          <w:sz w:val="24"/>
          <w:szCs w:val="24"/>
        </w:rPr>
        <w:t>Estado nuevo; Maria Central; 101=82 y 202=91</w:t>
      </w:r>
    </w:p>
    <w:p>
      <w:r>
        <w:rPr>
          <w:rFonts w:ascii="Arial" w:hAnsi="Arial" w:eastAsia="Arial" w:cs="Arial"/>
          <w:b/>
          <w:color w:val="000000"/>
          <w:sz w:val="24"/>
          <w:szCs w:val="24"/>
        </w:rPr>
        <w:t xml:space="preserve">Entradas: </w:t>
      </w:r>
      <w:r>
        <w:rPr>
          <w:rFonts w:ascii="Arial" w:hAnsi="Arial" w:eastAsia="Arial" w:cs="Arial"/>
          <w:color w:val="000000"/>
          <w:sz w:val="24"/>
          <w:szCs w:val="24"/>
        </w:rPr>
        <w:t>lab-maria;101;nota 85</w:t>
      </w:r>
    </w:p>
    <w:p>
      <w:r>
        <w:rPr>
          <w:rFonts w:ascii="Arial" w:hAnsi="Arial" w:eastAsia="Arial" w:cs="Arial"/>
          <w:b/>
          <w:color w:val="000000"/>
          <w:sz w:val="24"/>
          <w:szCs w:val="24"/>
        </w:rPr>
        <w:t xml:space="preserve">Pasos: </w:t>
      </w:r>
      <w:r>
        <w:rPr>
          <w:rFonts w:ascii="Arial" w:hAnsi="Arial" w:eastAsia="Arial" w:cs="Arial"/>
          <w:color w:val="000000"/>
          <w:sz w:val="24"/>
          <w:szCs w:val="24"/>
        </w:rPr>
        <w:t>Ampliar ejemplo original; actualizar; comprobar respuesta, persistencia, otro expediente y auditoria</w:t>
      </w:r>
    </w:p>
    <w:p>
      <w:r>
        <w:rPr>
          <w:rFonts w:ascii="Arial" w:hAnsi="Arial" w:eastAsia="Arial" w:cs="Arial"/>
          <w:b/>
          <w:color w:val="000000"/>
          <w:sz w:val="24"/>
          <w:szCs w:val="24"/>
        </w:rPr>
        <w:t xml:space="preserve">Esperado: </w:t>
      </w:r>
      <w:r>
        <w:rPr>
          <w:rFonts w:ascii="Arial" w:hAnsi="Arial" w:eastAsia="Arial" w:cs="Arial"/>
          <w:color w:val="000000"/>
          <w:sz w:val="24"/>
          <w:szCs w:val="24"/>
        </w:rPr>
        <w:t>200; 101 nota 85; 202 intacto; auditoria con usuario sin token</w:t>
      </w:r>
    </w:p>
    <w:p>
      <w:r>
        <w:rPr>
          <w:rFonts w:ascii="Arial" w:hAnsi="Arial" w:eastAsia="Arial" w:cs="Arial"/>
          <w:b/>
          <w:color w:val="000000"/>
          <w:sz w:val="24"/>
          <w:szCs w:val="24"/>
        </w:rPr>
        <w:t xml:space="preserve">Observado: </w:t>
      </w:r>
      <w:r>
        <w:rPr>
          <w:rFonts w:ascii="Arial" w:hAnsi="Arial" w:eastAsia="Arial" w:cs="Arial"/>
          <w:color w:val="000000"/>
          <w:sz w:val="24"/>
          <w:szCs w:val="24"/>
        </w:rPr>
        <w:t>El ejemplo original verifica 200 y nota devuelta; faltan persistencia/auditoria del caso completo</w:t>
      </w:r>
    </w:p>
    <w:p>
      <w:r>
        <w:rPr>
          <w:rFonts w:ascii="Arial" w:hAnsi="Arial" w:eastAsia="Arial" w:cs="Arial"/>
          <w:b/>
          <w:color w:val="000000"/>
          <w:sz w:val="24"/>
          <w:szCs w:val="24"/>
        </w:rPr>
        <w:t xml:space="preserve">Estado: </w:t>
      </w:r>
      <w:r>
        <w:rPr>
          <w:rFonts w:ascii="Arial" w:hAnsi="Arial" w:eastAsia="Arial" w:cs="Arial"/>
          <w:color w:val="000000"/>
          <w:sz w:val="24"/>
          <w:szCs w:val="24"/>
        </w:rPr>
        <w:t>no ejecutado</w:t>
      </w:r>
    </w:p>
    <w:p>
      <w:r>
        <w:rPr>
          <w:rFonts w:ascii="Arial" w:hAnsi="Arial" w:eastAsia="Arial" w:cs="Arial"/>
          <w:b/>
          <w:color w:val="000000"/>
          <w:sz w:val="24"/>
          <w:szCs w:val="24"/>
        </w:rPr>
        <w:t xml:space="preserve">Evidencia: </w:t>
      </w:r>
      <w:r>
        <w:rPr>
          <w:rFonts w:ascii="Arial" w:hAnsi="Arial" w:eastAsia="Arial" w:cs="Arial"/>
          <w:color w:val="000000"/>
          <w:sz w:val="24"/>
          <w:szCs w:val="24"/>
        </w:rPr>
        <w:t>Pendiente: evidencia de Jania con ID de caso, comandos, entorno y salida</w:t>
      </w:r>
    </w:p>
    <w:p>
      <w:pPr>
        <w:pStyle w:val="Heading3"/>
        <w:keepNext/>
        <w:widowControl/>
      </w:pPr>
      <w:r>
        <w:rPr>
          <w:rFonts w:ascii="Arial" w:hAnsi="Arial" w:eastAsia="Arial" w:cs="Arial"/>
          <w:b/>
          <w:color w:val="000000"/>
          <w:sz w:val="24"/>
          <w:szCs w:val="24"/>
        </w:rPr>
        <w:t>TC-03 Administrador consulta ambas sedes</w:t>
      </w:r>
    </w:p>
    <w:p>
      <w:pPr>
        <w:keepNext/>
        <w:widowControl/>
      </w:pPr>
      <w:r>
        <w:rPr>
          <w:rFonts w:ascii="Arial" w:hAnsi="Arial" w:eastAsia="Arial" w:cs="Arial"/>
          <w:b w:val="0"/>
          <w:color w:val="000000"/>
          <w:sz w:val="24"/>
          <w:szCs w:val="24"/>
        </w:rPr>
        <w:t>Tipo: positivo. Modalidad: unidad automatizada. Responsable: Wilberth. Prioridad: alta.</w:t>
      </w:r>
    </w:p>
    <w:p>
      <w:pPr>
        <w:keepNext/>
        <w:widowControl/>
      </w:pPr>
      <w:r>
        <w:rPr>
          <w:rFonts w:ascii="Arial" w:hAnsi="Arial" w:eastAsia="Arial" w:cs="Arial"/>
          <w:b w:val="0"/>
          <w:color w:val="000000"/>
          <w:sz w:val="24"/>
          <w:szCs w:val="24"/>
        </w:rPr>
        <w:t>Requisitos: SEC-01;SEC-06. Riesgos: R-01;R-05.</w:t>
      </w:r>
    </w:p>
    <w:p>
      <w:r>
        <w:rPr>
          <w:rFonts w:ascii="Arial" w:hAnsi="Arial" w:eastAsia="Arial" w:cs="Arial"/>
          <w:b/>
          <w:color w:val="000000"/>
          <w:sz w:val="24"/>
          <w:szCs w:val="24"/>
        </w:rPr>
        <w:t xml:space="preserve">Precondiciones: </w:t>
      </w:r>
      <w:r>
        <w:rPr>
          <w:rFonts w:ascii="Arial" w:hAnsi="Arial" w:eastAsia="Arial" w:cs="Arial"/>
          <w:color w:val="000000"/>
          <w:sz w:val="24"/>
          <w:szCs w:val="24"/>
        </w:rPr>
        <w:t>Estado nuevo; admin valido; expedientes 101 y 202</w:t>
      </w:r>
    </w:p>
    <w:p>
      <w:r>
        <w:rPr>
          <w:rFonts w:ascii="Arial" w:hAnsi="Arial" w:eastAsia="Arial" w:cs="Arial"/>
          <w:b/>
          <w:color w:val="000000"/>
          <w:sz w:val="24"/>
          <w:szCs w:val="24"/>
        </w:rPr>
        <w:t xml:space="preserve">Entradas: </w:t>
      </w:r>
      <w:r>
        <w:rPr>
          <w:rFonts w:ascii="Arial" w:hAnsi="Arial" w:eastAsia="Arial" w:cs="Arial"/>
          <w:color w:val="000000"/>
          <w:sz w:val="24"/>
          <w:szCs w:val="24"/>
        </w:rPr>
        <w:t>lab-admin;101 y 202</w:t>
      </w:r>
    </w:p>
    <w:p>
      <w:r>
        <w:rPr>
          <w:rFonts w:ascii="Arial" w:hAnsi="Arial" w:eastAsia="Arial" w:cs="Arial"/>
          <w:b/>
          <w:color w:val="000000"/>
          <w:sz w:val="24"/>
          <w:szCs w:val="24"/>
        </w:rPr>
        <w:t xml:space="preserve">Pasos: </w:t>
      </w:r>
      <w:r>
        <w:rPr>
          <w:rFonts w:ascii="Arial" w:hAnsi="Arial" w:eastAsia="Arial" w:cs="Arial"/>
          <w:color w:val="000000"/>
          <w:sz w:val="24"/>
          <w:szCs w:val="24"/>
        </w:rPr>
        <w:t>Desde entrega/laboratorio_seguridad ejecutar python -m unittest discover -s tests -k tc03 -v; leer ambos; comparar datos y estado; verificar dos eventos</w:t>
      </w:r>
    </w:p>
    <w:p>
      <w:r>
        <w:rPr>
          <w:rFonts w:ascii="Arial" w:hAnsi="Arial" w:eastAsia="Arial" w:cs="Arial"/>
          <w:b/>
          <w:color w:val="000000"/>
          <w:sz w:val="24"/>
          <w:szCs w:val="24"/>
        </w:rPr>
        <w:t xml:space="preserve">Esperado: </w:t>
      </w:r>
      <w:r>
        <w:rPr>
          <w:rFonts w:ascii="Arial" w:hAnsi="Arial" w:eastAsia="Arial" w:cs="Arial"/>
          <w:color w:val="000000"/>
          <w:sz w:val="24"/>
          <w:szCs w:val="24"/>
        </w:rPr>
        <w:t>200 en ambas; datos correctos; expedientes intactos; auditoria identifica admin sin token</w:t>
      </w:r>
    </w:p>
    <w:p>
      <w:r>
        <w:rPr>
          <w:rFonts w:ascii="Arial" w:hAnsi="Arial" w:eastAsia="Arial" w:cs="Arial"/>
          <w:b/>
          <w:color w:val="000000"/>
          <w:sz w:val="24"/>
          <w:szCs w:val="24"/>
        </w:rPr>
        <w:t xml:space="preserve">Observado: </w:t>
      </w:r>
      <w:r>
        <w:rPr>
          <w:rFonts w:ascii="Arial" w:hAnsi="Arial" w:eastAsia="Arial" w:cs="Arial"/>
          <w:color w:val="000000"/>
          <w:sz w:val="24"/>
          <w:szCs w:val="24"/>
        </w:rPr>
        <w:t>Ambas sedes aprobadas en dos corridas</w:t>
      </w:r>
    </w:p>
    <w:p>
      <w:r>
        <w:rPr>
          <w:rFonts w:ascii="Arial" w:hAnsi="Arial" w:eastAsia="Arial" w:cs="Arial"/>
          <w:b/>
          <w:color w:val="000000"/>
          <w:sz w:val="24"/>
          <w:szCs w:val="24"/>
        </w:rPr>
        <w:t xml:space="preserve">Estado: </w:t>
      </w:r>
      <w:r>
        <w:rPr>
          <w:rFonts w:ascii="Arial" w:hAnsi="Arial" w:eastAsia="Arial" w:cs="Arial"/>
          <w:color w:val="000000"/>
          <w:sz w:val="24"/>
          <w:szCs w:val="24"/>
        </w:rPr>
        <w:t>aprobado</w:t>
      </w:r>
    </w:p>
    <w:p>
      <w:r>
        <w:rPr>
          <w:rFonts w:ascii="Arial" w:hAnsi="Arial" w:eastAsia="Arial" w:cs="Arial"/>
          <w:b/>
          <w:color w:val="000000"/>
          <w:sz w:val="24"/>
          <w:szCs w:val="24"/>
        </w:rPr>
        <w:t xml:space="preserve">Evidencia: </w:t>
      </w:r>
      <w:r>
        <w:rPr>
          <w:rFonts w:ascii="Arial" w:hAnsi="Arial" w:eastAsia="Arial" w:cs="Arial"/>
          <w:color w:val="000000"/>
          <w:sz w:val="24"/>
          <w:szCs w:val="24"/>
        </w:rPr>
        <w:t>evidencias/wilberth_unidad_corrida1.txt; evidencias/wilberth_unidad_corrida2.txt</w:t>
      </w:r>
    </w:p>
    <w:p>
      <w:pPr>
        <w:pStyle w:val="Heading3"/>
        <w:keepNext/>
        <w:widowControl/>
      </w:pPr>
      <w:r>
        <w:rPr>
          <w:rFonts w:ascii="Arial" w:hAnsi="Arial" w:eastAsia="Arial" w:cs="Arial"/>
          <w:b/>
          <w:color w:val="000000"/>
          <w:sz w:val="24"/>
          <w:szCs w:val="24"/>
        </w:rPr>
        <w:t>TC-04 Estudiante no consulta expediente ajeno</w:t>
      </w:r>
    </w:p>
    <w:p>
      <w:pPr>
        <w:keepNext/>
        <w:widowControl/>
      </w:pPr>
      <w:r>
        <w:rPr>
          <w:rFonts w:ascii="Arial" w:hAnsi="Arial" w:eastAsia="Arial" w:cs="Arial"/>
          <w:b w:val="0"/>
          <w:color w:val="000000"/>
          <w:sz w:val="24"/>
          <w:szCs w:val="24"/>
        </w:rPr>
        <w:t>Tipo: negativo. Modalidad: unidad automatizada;TDD 1. Responsable: Wilberth. Prioridad: alta.</w:t>
      </w:r>
    </w:p>
    <w:p>
      <w:pPr>
        <w:keepNext/>
        <w:widowControl/>
      </w:pPr>
      <w:r>
        <w:rPr>
          <w:rFonts w:ascii="Arial" w:hAnsi="Arial" w:eastAsia="Arial" w:cs="Arial"/>
          <w:b w:val="0"/>
          <w:color w:val="000000"/>
          <w:sz w:val="24"/>
          <w:szCs w:val="24"/>
        </w:rPr>
        <w:t>Requisitos: SEC-01;SEC-05. Riesgos: R-01.</w:t>
      </w:r>
    </w:p>
    <w:p>
      <w:r>
        <w:rPr>
          <w:rFonts w:ascii="Arial" w:hAnsi="Arial" w:eastAsia="Arial" w:cs="Arial"/>
          <w:b/>
          <w:color w:val="000000"/>
          <w:sz w:val="24"/>
          <w:szCs w:val="24"/>
        </w:rPr>
        <w:t xml:space="preserve">Precondiciones: </w:t>
      </w:r>
      <w:r>
        <w:rPr>
          <w:rFonts w:ascii="Arial" w:hAnsi="Arial" w:eastAsia="Arial" w:cs="Arial"/>
          <w:color w:val="000000"/>
          <w:sz w:val="24"/>
          <w:szCs w:val="24"/>
        </w:rPr>
        <w:t>Estado nuevo; Ana valida; 202 de Luis con nota 91</w:t>
      </w:r>
    </w:p>
    <w:p>
      <w:r>
        <w:rPr>
          <w:rFonts w:ascii="Arial" w:hAnsi="Arial" w:eastAsia="Arial" w:cs="Arial"/>
          <w:b/>
          <w:color w:val="000000"/>
          <w:sz w:val="24"/>
          <w:szCs w:val="24"/>
        </w:rPr>
        <w:t xml:space="preserve">Entradas: </w:t>
      </w:r>
      <w:r>
        <w:rPr>
          <w:rFonts w:ascii="Arial" w:hAnsi="Arial" w:eastAsia="Arial" w:cs="Arial"/>
          <w:color w:val="000000"/>
          <w:sz w:val="24"/>
          <w:szCs w:val="24"/>
        </w:rPr>
        <w:t>lab-ana;202</w:t>
      </w:r>
    </w:p>
    <w:p>
      <w:r>
        <w:rPr>
          <w:rFonts w:ascii="Arial" w:hAnsi="Arial" w:eastAsia="Arial" w:cs="Arial"/>
          <w:b/>
          <w:color w:val="000000"/>
          <w:sz w:val="24"/>
          <w:szCs w:val="24"/>
        </w:rPr>
        <w:t xml:space="preserve">Pasos: </w:t>
      </w:r>
      <w:r>
        <w:rPr>
          <w:rFonts w:ascii="Arial" w:hAnsi="Arial" w:eastAsia="Arial" w:cs="Arial"/>
          <w:color w:val="000000"/>
          <w:sz w:val="24"/>
          <w:szCs w:val="24"/>
        </w:rPr>
        <w:t>Desde entrega/laboratorio_seguridad ejecutar python -m unittest discover -s tests -k tc04 -v; comparar 403, ausencia de campos protegidos/titular y estado antes/despues</w:t>
      </w:r>
    </w:p>
    <w:p>
      <w:r>
        <w:rPr>
          <w:rFonts w:ascii="Arial" w:hAnsi="Arial" w:eastAsia="Arial" w:cs="Arial"/>
          <w:b/>
          <w:color w:val="000000"/>
          <w:sz w:val="24"/>
          <w:szCs w:val="24"/>
        </w:rPr>
        <w:t xml:space="preserve">Esperado: </w:t>
      </w:r>
      <w:r>
        <w:rPr>
          <w:rFonts w:ascii="Arial" w:hAnsi="Arial" w:eastAsia="Arial" w:cs="Arial"/>
          <w:color w:val="000000"/>
          <w:sz w:val="24"/>
          <w:szCs w:val="24"/>
        </w:rPr>
        <w:t>403; sin id/estudiante/sede/nota ni titular ajeno; expedientes intactos</w:t>
      </w:r>
    </w:p>
    <w:p>
      <w:r>
        <w:rPr>
          <w:rFonts w:ascii="Arial" w:hAnsi="Arial" w:eastAsia="Arial" w:cs="Arial"/>
          <w:b/>
          <w:color w:val="000000"/>
          <w:sz w:val="24"/>
          <w:szCs w:val="24"/>
        </w:rPr>
        <w:t xml:space="preserve">Observado: </w:t>
      </w:r>
      <w:r>
        <w:rPr>
          <w:rFonts w:ascii="Arial" w:hAnsi="Arial" w:eastAsia="Arial" w:cs="Arial"/>
          <w:color w:val="000000"/>
          <w:sz w:val="24"/>
          <w:szCs w:val="24"/>
        </w:rPr>
        <w:t>Rojo inicial 200; verde y refactor aprobados; sigue pasando tras ampliar politica</w:t>
      </w:r>
    </w:p>
    <w:p>
      <w:r>
        <w:rPr>
          <w:rFonts w:ascii="Arial" w:hAnsi="Arial" w:eastAsia="Arial" w:cs="Arial"/>
          <w:b/>
          <w:color w:val="000000"/>
          <w:sz w:val="24"/>
          <w:szCs w:val="24"/>
        </w:rPr>
        <w:t xml:space="preserve">Estado: </w:t>
      </w:r>
      <w:r>
        <w:rPr>
          <w:rFonts w:ascii="Arial" w:hAnsi="Arial" w:eastAsia="Arial" w:cs="Arial"/>
          <w:color w:val="000000"/>
          <w:sz w:val="24"/>
          <w:szCs w:val="24"/>
        </w:rPr>
        <w:t>aprobado</w:t>
      </w:r>
    </w:p>
    <w:p>
      <w:r>
        <w:rPr>
          <w:rFonts w:ascii="Arial" w:hAnsi="Arial" w:eastAsia="Arial" w:cs="Arial"/>
          <w:b/>
          <w:color w:val="000000"/>
          <w:sz w:val="24"/>
          <w:szCs w:val="24"/>
        </w:rPr>
        <w:t xml:space="preserve">Evidencia: </w:t>
      </w:r>
      <w:r>
        <w:rPr>
          <w:rFonts w:ascii="Arial" w:hAnsi="Arial" w:eastAsia="Arial" w:cs="Arial"/>
          <w:color w:val="000000"/>
          <w:sz w:val="24"/>
          <w:szCs w:val="24"/>
        </w:rPr>
        <w:t>evidencias/tdd1_registro.md; evidencias/wilberth_unidad_corrida1.txt</w:t>
      </w:r>
    </w:p>
    <w:p>
      <w:pPr>
        <w:pStyle w:val="Heading3"/>
        <w:keepNext/>
        <w:widowControl/>
      </w:pPr>
      <w:r>
        <w:rPr>
          <w:rFonts w:ascii="Arial" w:hAnsi="Arial" w:eastAsia="Arial" w:cs="Arial"/>
          <w:b/>
          <w:color w:val="000000"/>
          <w:sz w:val="24"/>
          <w:szCs w:val="24"/>
        </w:rPr>
        <w:t>TC-05 Docente no consulta otra sede</w:t>
      </w:r>
    </w:p>
    <w:p>
      <w:pPr>
        <w:keepNext/>
        <w:widowControl/>
      </w:pPr>
      <w:r>
        <w:rPr>
          <w:rFonts w:ascii="Arial" w:hAnsi="Arial" w:eastAsia="Arial" w:cs="Arial"/>
          <w:b w:val="0"/>
          <w:color w:val="000000"/>
          <w:sz w:val="24"/>
          <w:szCs w:val="24"/>
        </w:rPr>
        <w:t>Tipo: negativo. Modalidad: HTTP manual con curl. Responsable: Wilberth. Prioridad: alta.</w:t>
      </w:r>
    </w:p>
    <w:p>
      <w:pPr>
        <w:keepNext/>
        <w:widowControl/>
      </w:pPr>
      <w:r>
        <w:rPr>
          <w:rFonts w:ascii="Arial" w:hAnsi="Arial" w:eastAsia="Arial" w:cs="Arial"/>
          <w:b w:val="0"/>
          <w:color w:val="000000"/>
          <w:sz w:val="24"/>
          <w:szCs w:val="24"/>
        </w:rPr>
        <w:t>Requisitos: SEC-01;SEC-05. Riesgos: R-01.</w:t>
      </w:r>
    </w:p>
    <w:p>
      <w:r>
        <w:rPr>
          <w:rFonts w:ascii="Arial" w:hAnsi="Arial" w:eastAsia="Arial" w:cs="Arial"/>
          <w:b/>
          <w:color w:val="000000"/>
          <w:sz w:val="24"/>
          <w:szCs w:val="24"/>
        </w:rPr>
        <w:t xml:space="preserve">Precondiciones: </w:t>
      </w:r>
      <w:r>
        <w:rPr>
          <w:rFonts w:ascii="Arial" w:hAnsi="Arial" w:eastAsia="Arial" w:cs="Arial"/>
          <w:color w:val="000000"/>
          <w:sz w:val="24"/>
          <w:szCs w:val="24"/>
        </w:rPr>
        <w:t>Servidor local nuevo; Maria Central; 202 Pacifico</w:t>
      </w:r>
    </w:p>
    <w:p>
      <w:r>
        <w:rPr>
          <w:rFonts w:ascii="Arial" w:hAnsi="Arial" w:eastAsia="Arial" w:cs="Arial"/>
          <w:b/>
          <w:color w:val="000000"/>
          <w:sz w:val="24"/>
          <w:szCs w:val="24"/>
        </w:rPr>
        <w:t xml:space="preserve">Entradas: </w:t>
      </w:r>
      <w:r>
        <w:rPr>
          <w:rFonts w:ascii="Arial" w:hAnsi="Arial" w:eastAsia="Arial" w:cs="Arial"/>
          <w:color w:val="000000"/>
          <w:sz w:val="24"/>
          <w:szCs w:val="24"/>
        </w:rPr>
        <w:t>GET /expedientes/202;Bearer lab-maria</w:t>
      </w:r>
    </w:p>
    <w:p>
      <w:r>
        <w:rPr>
          <w:rFonts w:ascii="Arial" w:hAnsi="Arial" w:eastAsia="Arial" w:cs="Arial"/>
          <w:b/>
          <w:color w:val="000000"/>
          <w:sz w:val="24"/>
          <w:szCs w:val="24"/>
        </w:rPr>
        <w:t xml:space="preserve">Pasos: </w:t>
      </w:r>
      <w:r>
        <w:rPr>
          <w:rFonts w:ascii="Arial" w:hAnsi="Arial" w:eastAsia="Arial" w:cs="Arial"/>
          <w:color w:val="000000"/>
          <w:sz w:val="24"/>
          <w:szCs w:val="24"/>
        </w:rPr>
        <w:t>Consultar ambos expedientes como admin antes; intentar lectura como Maria; confirmar lectura legitima de Pedro; consultar ambos como admin despues</w:t>
      </w:r>
    </w:p>
    <w:p>
      <w:r>
        <w:rPr>
          <w:rFonts w:ascii="Arial" w:hAnsi="Arial" w:eastAsia="Arial" w:cs="Arial"/>
          <w:b/>
          <w:color w:val="000000"/>
          <w:sz w:val="24"/>
          <w:szCs w:val="24"/>
        </w:rPr>
        <w:t xml:space="preserve">Esperado: </w:t>
      </w:r>
      <w:r>
        <w:rPr>
          <w:rFonts w:ascii="Arial" w:hAnsi="Arial" w:eastAsia="Arial" w:cs="Arial"/>
          <w:color w:val="000000"/>
          <w:sz w:val="24"/>
          <w:szCs w:val="24"/>
        </w:rPr>
        <w:t>403 a Maria sin datos protegidos; 200 a Pedro; ambos expedientes intactos</w:t>
      </w:r>
    </w:p>
    <w:p>
      <w:r>
        <w:rPr>
          <w:rFonts w:ascii="Arial" w:hAnsi="Arial" w:eastAsia="Arial" w:cs="Arial"/>
          <w:b/>
          <w:color w:val="000000"/>
          <w:sz w:val="24"/>
          <w:szCs w:val="24"/>
        </w:rPr>
        <w:t xml:space="preserve">Observado: </w:t>
      </w:r>
      <w:r>
        <w:rPr>
          <w:rFonts w:ascii="Arial" w:hAnsi="Arial" w:eastAsia="Arial" w:cs="Arial"/>
          <w:color w:val="000000"/>
          <w:sz w:val="24"/>
          <w:szCs w:val="24"/>
        </w:rPr>
        <w:t>Antes 200 con datos; despues 403 y sin filtracion; ambos expedientes intactos; Pedro 200</w:t>
      </w:r>
    </w:p>
    <w:p>
      <w:r>
        <w:rPr>
          <w:rFonts w:ascii="Arial" w:hAnsi="Arial" w:eastAsia="Arial" w:cs="Arial"/>
          <w:b/>
          <w:color w:val="000000"/>
          <w:sz w:val="24"/>
          <w:szCs w:val="24"/>
        </w:rPr>
        <w:t xml:space="preserve">Estado: </w:t>
      </w:r>
      <w:r>
        <w:rPr>
          <w:rFonts w:ascii="Arial" w:hAnsi="Arial" w:eastAsia="Arial" w:cs="Arial"/>
          <w:color w:val="000000"/>
          <w:sz w:val="24"/>
          <w:szCs w:val="24"/>
        </w:rPr>
        <w:t>aprobado</w:t>
      </w:r>
    </w:p>
    <w:p>
      <w:r>
        <w:rPr>
          <w:rFonts w:ascii="Arial" w:hAnsi="Arial" w:eastAsia="Arial" w:cs="Arial"/>
          <w:b/>
          <w:color w:val="000000"/>
          <w:sz w:val="24"/>
          <w:szCs w:val="24"/>
        </w:rPr>
        <w:t xml:space="preserve">Evidencia: </w:t>
      </w:r>
      <w:r>
        <w:rPr>
          <w:rFonts w:ascii="Arial" w:hAnsi="Arial" w:eastAsia="Arial" w:cs="Arial"/>
          <w:color w:val="000000"/>
          <w:sz w:val="24"/>
          <w:szCs w:val="24"/>
        </w:rPr>
        <w:t>evidencias/wilberth_api_antes.txt; evidencias/wilberth_api_despues.txt</w:t>
      </w:r>
    </w:p>
    <w:p>
      <w:pPr>
        <w:pStyle w:val="Heading3"/>
        <w:keepNext/>
        <w:widowControl/>
      </w:pPr>
      <w:r>
        <w:rPr>
          <w:rFonts w:ascii="Arial" w:hAnsi="Arial" w:eastAsia="Arial" w:cs="Arial"/>
          <w:b/>
          <w:color w:val="000000"/>
          <w:sz w:val="24"/>
          <w:szCs w:val="24"/>
        </w:rPr>
        <w:t>TC-06 Docente no cambia nota de otra sede</w:t>
      </w:r>
    </w:p>
    <w:p>
      <w:pPr>
        <w:keepNext/>
        <w:widowControl/>
      </w:pPr>
      <w:r>
        <w:rPr>
          <w:rFonts w:ascii="Arial" w:hAnsi="Arial" w:eastAsia="Arial" w:cs="Arial"/>
          <w:b w:val="0"/>
          <w:color w:val="000000"/>
          <w:sz w:val="24"/>
          <w:szCs w:val="24"/>
        </w:rPr>
        <w:t>Tipo: negativo. Modalidad: HTTP manual con curl o PowerShell. Responsable: Jania. Prioridad: alta.</w:t>
      </w:r>
    </w:p>
    <w:p>
      <w:pPr>
        <w:keepNext/>
        <w:widowControl/>
      </w:pPr>
      <w:r>
        <w:rPr>
          <w:rFonts w:ascii="Arial" w:hAnsi="Arial" w:eastAsia="Arial" w:cs="Arial"/>
          <w:b w:val="0"/>
          <w:color w:val="000000"/>
          <w:sz w:val="24"/>
          <w:szCs w:val="24"/>
        </w:rPr>
        <w:t>Requisitos: SEC-02;SEC-05. Riesgos: R-02.</w:t>
      </w:r>
    </w:p>
    <w:p>
      <w:r>
        <w:rPr>
          <w:rFonts w:ascii="Arial" w:hAnsi="Arial" w:eastAsia="Arial" w:cs="Arial"/>
          <w:b/>
          <w:color w:val="000000"/>
          <w:sz w:val="24"/>
          <w:szCs w:val="24"/>
        </w:rPr>
        <w:t xml:space="preserve">Precondiciones: </w:t>
      </w:r>
      <w:r>
        <w:rPr>
          <w:rFonts w:ascii="Arial" w:hAnsi="Arial" w:eastAsia="Arial" w:cs="Arial"/>
          <w:color w:val="000000"/>
          <w:sz w:val="24"/>
          <w:szCs w:val="24"/>
        </w:rPr>
        <w:t>Servidor reiniciado; Maria Central; 202 Pacifico nota 91</w:t>
      </w:r>
    </w:p>
    <w:p>
      <w:r>
        <w:rPr>
          <w:rFonts w:ascii="Arial" w:hAnsi="Arial" w:eastAsia="Arial" w:cs="Arial"/>
          <w:b/>
          <w:color w:val="000000"/>
          <w:sz w:val="24"/>
          <w:szCs w:val="24"/>
        </w:rPr>
        <w:t xml:space="preserve">Entradas: </w:t>
      </w:r>
      <w:r>
        <w:rPr>
          <w:rFonts w:ascii="Arial" w:hAnsi="Arial" w:eastAsia="Arial" w:cs="Arial"/>
          <w:color w:val="000000"/>
          <w:sz w:val="24"/>
          <w:szCs w:val="24"/>
        </w:rPr>
        <w:t>POST /expedientes/202/nota;Bearer lab-maria;{"nota":70}</w:t>
      </w:r>
    </w:p>
    <w:p>
      <w:r>
        <w:rPr>
          <w:rFonts w:ascii="Arial" w:hAnsi="Arial" w:eastAsia="Arial" w:cs="Arial"/>
          <w:b/>
          <w:color w:val="000000"/>
          <w:sz w:val="24"/>
          <w:szCs w:val="24"/>
        </w:rPr>
        <w:t xml:space="preserve">Pasos: </w:t>
      </w:r>
      <w:r>
        <w:rPr>
          <w:rFonts w:ascii="Arial" w:hAnsi="Arial" w:eastAsia="Arial" w:cs="Arial"/>
          <w:color w:val="000000"/>
          <w:sz w:val="24"/>
          <w:szCs w:val="24"/>
        </w:rPr>
        <w:t>Leer 202 como admin; intentar cambio como Maria; leer despues como admin y comparar todos los campos</w:t>
      </w:r>
    </w:p>
    <w:p>
      <w:r>
        <w:rPr>
          <w:rFonts w:ascii="Arial" w:hAnsi="Arial" w:eastAsia="Arial" w:cs="Arial"/>
          <w:b/>
          <w:color w:val="000000"/>
          <w:sz w:val="24"/>
          <w:szCs w:val="24"/>
        </w:rPr>
        <w:t xml:space="preserve">Esperado: </w:t>
      </w:r>
      <w:r>
        <w:rPr>
          <w:rFonts w:ascii="Arial" w:hAnsi="Arial" w:eastAsia="Arial" w:cs="Arial"/>
          <w:color w:val="000000"/>
          <w:sz w:val="24"/>
          <w:szCs w:val="24"/>
        </w:rPr>
        <w:t>403 sin campos protegidos; expediente 202 intacto y nota 91</w:t>
      </w:r>
    </w:p>
    <w:p>
      <w:r>
        <w:rPr>
          <w:rFonts w:ascii="Arial" w:hAnsi="Arial" w:eastAsia="Arial" w:cs="Arial"/>
          <w:b/>
          <w:color w:val="000000"/>
          <w:sz w:val="24"/>
          <w:szCs w:val="24"/>
        </w:rPr>
        <w:t xml:space="preserve">Observado: </w:t>
      </w:r>
      <w:r>
        <w:rPr>
          <w:rFonts w:ascii="Arial" w:hAnsi="Arial" w:eastAsia="Arial" w:cs="Arial"/>
          <w:color w:val="000000"/>
          <w:sz w:val="24"/>
          <w:szCs w:val="24"/>
        </w:rPr>
        <w:t>Pendiente Jania; falta control de sede en escritura</w:t>
      </w:r>
    </w:p>
    <w:p>
      <w:r>
        <w:rPr>
          <w:rFonts w:ascii="Arial" w:hAnsi="Arial" w:eastAsia="Arial" w:cs="Arial"/>
          <w:b/>
          <w:color w:val="000000"/>
          <w:sz w:val="24"/>
          <w:szCs w:val="24"/>
        </w:rPr>
        <w:t xml:space="preserve">Estado: </w:t>
      </w:r>
      <w:r>
        <w:rPr>
          <w:rFonts w:ascii="Arial" w:hAnsi="Arial" w:eastAsia="Arial" w:cs="Arial"/>
          <w:color w:val="000000"/>
          <w:sz w:val="24"/>
          <w:szCs w:val="24"/>
        </w:rPr>
        <w:t>no ejecutado</w:t>
      </w:r>
    </w:p>
    <w:p>
      <w:r>
        <w:rPr>
          <w:rFonts w:ascii="Arial" w:hAnsi="Arial" w:eastAsia="Arial" w:cs="Arial"/>
          <w:b/>
          <w:color w:val="000000"/>
          <w:sz w:val="24"/>
          <w:szCs w:val="24"/>
        </w:rPr>
        <w:t xml:space="preserve">Evidencia: </w:t>
      </w:r>
      <w:r>
        <w:rPr>
          <w:rFonts w:ascii="Arial" w:hAnsi="Arial" w:eastAsia="Arial" w:cs="Arial"/>
          <w:color w:val="000000"/>
          <w:sz w:val="24"/>
          <w:szCs w:val="24"/>
        </w:rPr>
        <w:t>Pendiente: evidencia de Jania con ID de caso, comandos, entorno y salida</w:t>
      </w:r>
    </w:p>
    <w:p>
      <w:pPr>
        <w:pStyle w:val="Heading3"/>
        <w:keepNext/>
        <w:widowControl/>
      </w:pPr>
      <w:r>
        <w:rPr>
          <w:rFonts w:ascii="Arial" w:hAnsi="Arial" w:eastAsia="Arial" w:cs="Arial"/>
          <w:b/>
          <w:color w:val="000000"/>
          <w:sz w:val="24"/>
          <w:szCs w:val="24"/>
        </w:rPr>
        <w:t>TC-07 Estudiante y administrador no cambian notas</w:t>
      </w:r>
    </w:p>
    <w:p>
      <w:pPr>
        <w:keepNext/>
        <w:widowControl/>
      </w:pPr>
      <w:r>
        <w:rPr>
          <w:rFonts w:ascii="Arial" w:hAnsi="Arial" w:eastAsia="Arial" w:cs="Arial"/>
          <w:b w:val="0"/>
          <w:color w:val="000000"/>
          <w:sz w:val="24"/>
          <w:szCs w:val="24"/>
        </w:rPr>
        <w:t>Tipo: negativo. Modalidad: unidad automatizada. Responsable: Wilberth. Prioridad: alta.</w:t>
      </w:r>
    </w:p>
    <w:p>
      <w:pPr>
        <w:keepNext/>
        <w:widowControl/>
      </w:pPr>
      <w:r>
        <w:rPr>
          <w:rFonts w:ascii="Arial" w:hAnsi="Arial" w:eastAsia="Arial" w:cs="Arial"/>
          <w:b w:val="0"/>
          <w:color w:val="000000"/>
          <w:sz w:val="24"/>
          <w:szCs w:val="24"/>
        </w:rPr>
        <w:t>Requisitos: SEC-02;SEC-05. Riesgos: R-02.</w:t>
      </w:r>
    </w:p>
    <w:p>
      <w:r>
        <w:rPr>
          <w:rFonts w:ascii="Arial" w:hAnsi="Arial" w:eastAsia="Arial" w:cs="Arial"/>
          <w:b/>
          <w:color w:val="000000"/>
          <w:sz w:val="24"/>
          <w:szCs w:val="24"/>
        </w:rPr>
        <w:t xml:space="preserve">Precondiciones: </w:t>
      </w:r>
      <w:r>
        <w:rPr>
          <w:rFonts w:ascii="Arial" w:hAnsi="Arial" w:eastAsia="Arial" w:cs="Arial"/>
          <w:color w:val="000000"/>
          <w:sz w:val="24"/>
          <w:szCs w:val="24"/>
        </w:rPr>
        <w:t>Estado nuevo por rol; 101=82; sesiones validas</w:t>
      </w:r>
    </w:p>
    <w:p>
      <w:r>
        <w:rPr>
          <w:rFonts w:ascii="Arial" w:hAnsi="Arial" w:eastAsia="Arial" w:cs="Arial"/>
          <w:b/>
          <w:color w:val="000000"/>
          <w:sz w:val="24"/>
          <w:szCs w:val="24"/>
        </w:rPr>
        <w:t xml:space="preserve">Entradas: </w:t>
      </w:r>
      <w:r>
        <w:rPr>
          <w:rFonts w:ascii="Arial" w:hAnsi="Arial" w:eastAsia="Arial" w:cs="Arial"/>
          <w:color w:val="000000"/>
          <w:sz w:val="24"/>
          <w:szCs w:val="24"/>
        </w:rPr>
        <w:t>lab-ana y lab-admin;101;70</w:t>
      </w:r>
    </w:p>
    <w:p>
      <w:r>
        <w:rPr>
          <w:rFonts w:ascii="Arial" w:hAnsi="Arial" w:eastAsia="Arial" w:cs="Arial"/>
          <w:b/>
          <w:color w:val="000000"/>
          <w:sz w:val="24"/>
          <w:szCs w:val="24"/>
        </w:rPr>
        <w:t xml:space="preserve">Pasos: </w:t>
      </w:r>
      <w:r>
        <w:rPr>
          <w:rFonts w:ascii="Arial" w:hAnsi="Arial" w:eastAsia="Arial" w:cs="Arial"/>
          <w:color w:val="000000"/>
          <w:sz w:val="24"/>
          <w:szCs w:val="24"/>
        </w:rPr>
        <w:t>Desde entrega/laboratorio_seguridad ejecutar python -m unittest discover -s tests -k tc07 -v; por rol comparar respuesta y todos los expedientes antes/despues</w:t>
      </w:r>
    </w:p>
    <w:p>
      <w:r>
        <w:rPr>
          <w:rFonts w:ascii="Arial" w:hAnsi="Arial" w:eastAsia="Arial" w:cs="Arial"/>
          <w:b/>
          <w:color w:val="000000"/>
          <w:sz w:val="24"/>
          <w:szCs w:val="24"/>
        </w:rPr>
        <w:t xml:space="preserve">Esperado: </w:t>
      </w:r>
      <w:r>
        <w:rPr>
          <w:rFonts w:ascii="Arial" w:hAnsi="Arial" w:eastAsia="Arial" w:cs="Arial"/>
          <w:color w:val="000000"/>
          <w:sz w:val="24"/>
          <w:szCs w:val="24"/>
        </w:rPr>
        <w:t>403 en ambos roles; sin datos protegidos; expedientes intactos</w:t>
      </w:r>
    </w:p>
    <w:p>
      <w:r>
        <w:rPr>
          <w:rFonts w:ascii="Arial" w:hAnsi="Arial" w:eastAsia="Arial" w:cs="Arial"/>
          <w:b/>
          <w:color w:val="000000"/>
          <w:sz w:val="24"/>
          <w:szCs w:val="24"/>
        </w:rPr>
        <w:t xml:space="preserve">Observado: </w:t>
      </w:r>
      <w:r>
        <w:rPr>
          <w:rFonts w:ascii="Arial" w:hAnsi="Arial" w:eastAsia="Arial" w:cs="Arial"/>
          <w:color w:val="000000"/>
          <w:sz w:val="24"/>
          <w:szCs w:val="24"/>
        </w:rPr>
        <w:t>Ambos roles aprobados en dos corridas</w:t>
      </w:r>
    </w:p>
    <w:p>
      <w:r>
        <w:rPr>
          <w:rFonts w:ascii="Arial" w:hAnsi="Arial" w:eastAsia="Arial" w:cs="Arial"/>
          <w:b/>
          <w:color w:val="000000"/>
          <w:sz w:val="24"/>
          <w:szCs w:val="24"/>
        </w:rPr>
        <w:t xml:space="preserve">Estado: </w:t>
      </w:r>
      <w:r>
        <w:rPr>
          <w:rFonts w:ascii="Arial" w:hAnsi="Arial" w:eastAsia="Arial" w:cs="Arial"/>
          <w:color w:val="000000"/>
          <w:sz w:val="24"/>
          <w:szCs w:val="24"/>
        </w:rPr>
        <w:t>aprobado</w:t>
      </w:r>
    </w:p>
    <w:p>
      <w:r>
        <w:rPr>
          <w:rFonts w:ascii="Arial" w:hAnsi="Arial" w:eastAsia="Arial" w:cs="Arial"/>
          <w:b/>
          <w:color w:val="000000"/>
          <w:sz w:val="24"/>
          <w:szCs w:val="24"/>
        </w:rPr>
        <w:t xml:space="preserve">Evidencia: </w:t>
      </w:r>
      <w:r>
        <w:rPr>
          <w:rFonts w:ascii="Arial" w:hAnsi="Arial" w:eastAsia="Arial" w:cs="Arial"/>
          <w:color w:val="000000"/>
          <w:sz w:val="24"/>
          <w:szCs w:val="24"/>
        </w:rPr>
        <w:t>evidencias/wilberth_unidad_corrida1.txt; evidencias/wilberth_unidad_corrida2.txt</w:t>
      </w:r>
    </w:p>
    <w:p>
      <w:pPr>
        <w:pStyle w:val="Heading3"/>
        <w:keepNext/>
        <w:widowControl/>
      </w:pPr>
      <w:r>
        <w:rPr>
          <w:rFonts w:ascii="Arial" w:hAnsi="Arial" w:eastAsia="Arial" w:cs="Arial"/>
          <w:b/>
          <w:color w:val="000000"/>
          <w:sz w:val="24"/>
          <w:szCs w:val="24"/>
        </w:rPr>
        <w:t>TC-08 Sesion revocada no accede; variantes ausente desconocida</w:t>
      </w:r>
    </w:p>
    <w:p>
      <w:pPr>
        <w:keepNext/>
        <w:widowControl/>
      </w:pPr>
      <w:r>
        <w:rPr>
          <w:rFonts w:ascii="Arial" w:hAnsi="Arial" w:eastAsia="Arial" w:cs="Arial"/>
          <w:b w:val="0"/>
          <w:color w:val="000000"/>
          <w:sz w:val="24"/>
          <w:szCs w:val="24"/>
        </w:rPr>
        <w:t>Tipo: negativo. Modalidad: unidad automatizada;TDD 2. Responsable: Jania. Prioridad: alta.</w:t>
      </w:r>
    </w:p>
    <w:p>
      <w:pPr>
        <w:keepNext/>
        <w:widowControl/>
      </w:pPr>
      <w:r>
        <w:rPr>
          <w:rFonts w:ascii="Arial" w:hAnsi="Arial" w:eastAsia="Arial" w:cs="Arial"/>
          <w:b w:val="0"/>
          <w:color w:val="000000"/>
          <w:sz w:val="24"/>
          <w:szCs w:val="24"/>
        </w:rPr>
        <w:t>Requisitos: SEC-03;SEC-05. Riesgos: R-03.</w:t>
      </w:r>
    </w:p>
    <w:p>
      <w:r>
        <w:rPr>
          <w:rFonts w:ascii="Arial" w:hAnsi="Arial" w:eastAsia="Arial" w:cs="Arial"/>
          <w:b/>
          <w:color w:val="000000"/>
          <w:sz w:val="24"/>
          <w:szCs w:val="24"/>
        </w:rPr>
        <w:t xml:space="preserve">Precondiciones: </w:t>
      </w:r>
      <w:r>
        <w:rPr>
          <w:rFonts w:ascii="Arial" w:hAnsi="Arial" w:eastAsia="Arial" w:cs="Arial"/>
          <w:color w:val="000000"/>
          <w:sz w:val="24"/>
          <w:szCs w:val="24"/>
        </w:rPr>
        <w:t>Estado nuevo por variante; revocar sesion de docente para comprobar lectura y escritura</w:t>
      </w:r>
    </w:p>
    <w:p>
      <w:r>
        <w:rPr>
          <w:rFonts w:ascii="Arial" w:hAnsi="Arial" w:eastAsia="Arial" w:cs="Arial"/>
          <w:b/>
          <w:color w:val="000000"/>
          <w:sz w:val="24"/>
          <w:szCs w:val="24"/>
        </w:rPr>
        <w:t xml:space="preserve">Entradas: </w:t>
      </w:r>
      <w:r>
        <w:rPr>
          <w:rFonts w:ascii="Arial" w:hAnsi="Arial" w:eastAsia="Arial" w:cs="Arial"/>
          <w:color w:val="000000"/>
          <w:sz w:val="24"/>
          <w:szCs w:val="24"/>
        </w:rPr>
        <w:t>Sesion revocada;token vacio;token inexistente;101;nota 70</w:t>
      </w:r>
    </w:p>
    <w:p>
      <w:r>
        <w:rPr>
          <w:rFonts w:ascii="Arial" w:hAnsi="Arial" w:eastAsia="Arial" w:cs="Arial"/>
          <w:b/>
          <w:color w:val="000000"/>
          <w:sz w:val="24"/>
          <w:szCs w:val="24"/>
        </w:rPr>
        <w:t xml:space="preserve">Pasos: </w:t>
      </w:r>
      <w:r>
        <w:rPr>
          <w:rFonts w:ascii="Arial" w:hAnsi="Arial" w:eastAsia="Arial" w:cs="Arial"/>
          <w:color w:val="000000"/>
          <w:sz w:val="24"/>
          <w:szCs w:val="24"/>
        </w:rPr>
        <w:t>Documentar rojo antes de corregir; revocar; intentar leer y modificar; comparar respuesta y estado; repetir variantes; verde y refactor</w:t>
      </w:r>
    </w:p>
    <w:p>
      <w:r>
        <w:rPr>
          <w:rFonts w:ascii="Arial" w:hAnsi="Arial" w:eastAsia="Arial" w:cs="Arial"/>
          <w:b/>
          <w:color w:val="000000"/>
          <w:sz w:val="24"/>
          <w:szCs w:val="24"/>
        </w:rPr>
        <w:t xml:space="preserve">Esperado: </w:t>
      </w:r>
      <w:r>
        <w:rPr>
          <w:rFonts w:ascii="Arial" w:hAnsi="Arial" w:eastAsia="Arial" w:cs="Arial"/>
          <w:color w:val="000000"/>
          <w:sz w:val="24"/>
          <w:szCs w:val="24"/>
        </w:rPr>
        <w:t>401 en operaciones protegidas; sin datos ni cambios; tres evidencias TDD</w:t>
      </w:r>
    </w:p>
    <w:p>
      <w:r>
        <w:rPr>
          <w:rFonts w:ascii="Arial" w:hAnsi="Arial" w:eastAsia="Arial" w:cs="Arial"/>
          <w:b/>
          <w:color w:val="000000"/>
          <w:sz w:val="24"/>
          <w:szCs w:val="24"/>
        </w:rPr>
        <w:t xml:space="preserve">Observado: </w:t>
      </w:r>
      <w:r>
        <w:rPr>
          <w:rFonts w:ascii="Arial" w:hAnsi="Arial" w:eastAsia="Arial" w:cs="Arial"/>
          <w:color w:val="000000"/>
          <w:sz w:val="24"/>
          <w:szCs w:val="24"/>
        </w:rPr>
        <w:t>El ejemplo original demuestra lectura 200 tras revocacion, esperado 401. Caso fallido por esa contradiccion; ampliacion y TDD 2 pendientes</w:t>
      </w:r>
    </w:p>
    <w:p>
      <w:r>
        <w:rPr>
          <w:rFonts w:ascii="Arial" w:hAnsi="Arial" w:eastAsia="Arial" w:cs="Arial"/>
          <w:b/>
          <w:color w:val="000000"/>
          <w:sz w:val="24"/>
          <w:szCs w:val="24"/>
        </w:rPr>
        <w:t xml:space="preserve">Estado: </w:t>
      </w:r>
      <w:r>
        <w:rPr>
          <w:rFonts w:ascii="Arial" w:hAnsi="Arial" w:eastAsia="Arial" w:cs="Arial"/>
          <w:color w:val="000000"/>
          <w:sz w:val="24"/>
          <w:szCs w:val="24"/>
        </w:rPr>
        <w:t>fallido</w:t>
      </w:r>
    </w:p>
    <w:p>
      <w:r>
        <w:rPr>
          <w:rFonts w:ascii="Arial" w:hAnsi="Arial" w:eastAsia="Arial" w:cs="Arial"/>
          <w:b/>
          <w:color w:val="000000"/>
          <w:sz w:val="24"/>
          <w:szCs w:val="24"/>
        </w:rPr>
        <w:t xml:space="preserve">Evidencia: </w:t>
      </w:r>
      <w:r>
        <w:rPr>
          <w:rFonts w:ascii="Arial" w:hAnsi="Arial" w:eastAsia="Arial" w:cs="Arial"/>
          <w:color w:val="000000"/>
          <w:sz w:val="24"/>
          <w:szCs w:val="24"/>
        </w:rPr>
        <w:t>evidencias/suite_parcial_equipo.txt; evidencias/verificacion_wilberth.png</w:t>
      </w:r>
    </w:p>
    <w:p>
      <w:pPr>
        <w:pStyle w:val="Heading3"/>
        <w:keepNext/>
        <w:widowControl/>
      </w:pPr>
      <w:r>
        <w:rPr>
          <w:rFonts w:ascii="Arial" w:hAnsi="Arial" w:eastAsia="Arial" w:cs="Arial"/>
          <w:b/>
          <w:color w:val="000000"/>
          <w:sz w:val="24"/>
          <w:szCs w:val="24"/>
        </w:rPr>
        <w:t>TC-09 Sesion expirada no consulta ni modifica</w:t>
      </w:r>
    </w:p>
    <w:p>
      <w:pPr>
        <w:keepNext/>
        <w:widowControl/>
      </w:pPr>
      <w:r>
        <w:rPr>
          <w:rFonts w:ascii="Arial" w:hAnsi="Arial" w:eastAsia="Arial" w:cs="Arial"/>
          <w:b w:val="0"/>
          <w:color w:val="000000"/>
          <w:sz w:val="24"/>
          <w:szCs w:val="24"/>
        </w:rPr>
        <w:t>Tipo: negativo. Modalidad: HTTP manual con curl o PowerShell. Responsable: Jania. Prioridad: alta.</w:t>
      </w:r>
    </w:p>
    <w:p>
      <w:pPr>
        <w:keepNext/>
        <w:widowControl/>
      </w:pPr>
      <w:r>
        <w:rPr>
          <w:rFonts w:ascii="Arial" w:hAnsi="Arial" w:eastAsia="Arial" w:cs="Arial"/>
          <w:b w:val="0"/>
          <w:color w:val="000000"/>
          <w:sz w:val="24"/>
          <w:szCs w:val="24"/>
        </w:rPr>
        <w:t>Requisitos: SEC-03;SEC-05. Riesgos: R-03.</w:t>
      </w:r>
    </w:p>
    <w:p>
      <w:r>
        <w:rPr>
          <w:rFonts w:ascii="Arial" w:hAnsi="Arial" w:eastAsia="Arial" w:cs="Arial"/>
          <w:b/>
          <w:color w:val="000000"/>
          <w:sz w:val="24"/>
          <w:szCs w:val="24"/>
        </w:rPr>
        <w:t xml:space="preserve">Precondiciones: </w:t>
      </w:r>
      <w:r>
        <w:rPr>
          <w:rFonts w:ascii="Arial" w:hAnsi="Arial" w:eastAsia="Arial" w:cs="Arial"/>
          <w:color w:val="000000"/>
          <w:sz w:val="24"/>
          <w:szCs w:val="24"/>
        </w:rPr>
        <w:t>Servidor nuevo; lab-vencida expirada;101=82</w:t>
      </w:r>
    </w:p>
    <w:p>
      <w:r>
        <w:rPr>
          <w:rFonts w:ascii="Arial" w:hAnsi="Arial" w:eastAsia="Arial" w:cs="Arial"/>
          <w:b/>
          <w:color w:val="000000"/>
          <w:sz w:val="24"/>
          <w:szCs w:val="24"/>
        </w:rPr>
        <w:t xml:space="preserve">Entradas: </w:t>
      </w:r>
      <w:r>
        <w:rPr>
          <w:rFonts w:ascii="Arial" w:hAnsi="Arial" w:eastAsia="Arial" w:cs="Arial"/>
          <w:color w:val="000000"/>
          <w:sz w:val="24"/>
          <w:szCs w:val="24"/>
        </w:rPr>
        <w:t>Bearer lab-vencida;GET /expedientes/101;POST /expedientes/101/nota;{"nota":70}</w:t>
      </w:r>
    </w:p>
    <w:p>
      <w:r>
        <w:rPr>
          <w:rFonts w:ascii="Arial" w:hAnsi="Arial" w:eastAsia="Arial" w:cs="Arial"/>
          <w:b/>
          <w:color w:val="000000"/>
          <w:sz w:val="24"/>
          <w:szCs w:val="24"/>
        </w:rPr>
        <w:t xml:space="preserve">Pasos: </w:t>
      </w:r>
      <w:r>
        <w:rPr>
          <w:rFonts w:ascii="Arial" w:hAnsi="Arial" w:eastAsia="Arial" w:cs="Arial"/>
          <w:color w:val="000000"/>
          <w:sz w:val="24"/>
          <w:szCs w:val="24"/>
        </w:rPr>
        <w:t>Leer original como admin; intentar lectura y cambio con vencida; leer de nuevo como admin</w:t>
      </w:r>
    </w:p>
    <w:p>
      <w:r>
        <w:rPr>
          <w:rFonts w:ascii="Arial" w:hAnsi="Arial" w:eastAsia="Arial" w:cs="Arial"/>
          <w:b/>
          <w:color w:val="000000"/>
          <w:sz w:val="24"/>
          <w:szCs w:val="24"/>
        </w:rPr>
        <w:t xml:space="preserve">Esperado: </w:t>
      </w:r>
      <w:r>
        <w:rPr>
          <w:rFonts w:ascii="Arial" w:hAnsi="Arial" w:eastAsia="Arial" w:cs="Arial"/>
          <w:color w:val="000000"/>
          <w:sz w:val="24"/>
          <w:szCs w:val="24"/>
        </w:rPr>
        <w:t>401 en ambas; sin datos protegidos; expediente intacto</w:t>
      </w:r>
    </w:p>
    <w:p>
      <w:r>
        <w:rPr>
          <w:rFonts w:ascii="Arial" w:hAnsi="Arial" w:eastAsia="Arial" w:cs="Arial"/>
          <w:b/>
          <w:color w:val="000000"/>
          <w:sz w:val="24"/>
          <w:szCs w:val="24"/>
        </w:rPr>
        <w:t xml:space="preserve">Observado: </w:t>
      </w:r>
      <w:r>
        <w:rPr>
          <w:rFonts w:ascii="Arial" w:hAnsi="Arial" w:eastAsia="Arial" w:cs="Arial"/>
          <w:color w:val="000000"/>
          <w:sz w:val="24"/>
          <w:szCs w:val="24"/>
        </w:rPr>
        <w:t>Pendiente de ejecucion por Jania</w:t>
      </w:r>
    </w:p>
    <w:p>
      <w:r>
        <w:rPr>
          <w:rFonts w:ascii="Arial" w:hAnsi="Arial" w:eastAsia="Arial" w:cs="Arial"/>
          <w:b/>
          <w:color w:val="000000"/>
          <w:sz w:val="24"/>
          <w:szCs w:val="24"/>
        </w:rPr>
        <w:t xml:space="preserve">Estado: </w:t>
      </w:r>
      <w:r>
        <w:rPr>
          <w:rFonts w:ascii="Arial" w:hAnsi="Arial" w:eastAsia="Arial" w:cs="Arial"/>
          <w:color w:val="000000"/>
          <w:sz w:val="24"/>
          <w:szCs w:val="24"/>
        </w:rPr>
        <w:t>no ejecutado</w:t>
      </w:r>
    </w:p>
    <w:p>
      <w:r>
        <w:rPr>
          <w:rFonts w:ascii="Arial" w:hAnsi="Arial" w:eastAsia="Arial" w:cs="Arial"/>
          <w:b/>
          <w:color w:val="000000"/>
          <w:sz w:val="24"/>
          <w:szCs w:val="24"/>
        </w:rPr>
        <w:t xml:space="preserve">Evidencia: </w:t>
      </w:r>
      <w:r>
        <w:rPr>
          <w:rFonts w:ascii="Arial" w:hAnsi="Arial" w:eastAsia="Arial" w:cs="Arial"/>
          <w:color w:val="000000"/>
          <w:sz w:val="24"/>
          <w:szCs w:val="24"/>
        </w:rPr>
        <w:t>Pendiente: evidencia de Jania con ID de caso, comandos, entorno y salida</w:t>
      </w:r>
    </w:p>
    <w:p>
      <w:pPr>
        <w:pStyle w:val="Heading3"/>
        <w:keepNext/>
        <w:widowControl/>
      </w:pPr>
      <w:r>
        <w:rPr>
          <w:rFonts w:ascii="Arial" w:hAnsi="Arial" w:eastAsia="Arial" w:cs="Arial"/>
          <w:b/>
          <w:color w:val="000000"/>
          <w:sz w:val="24"/>
          <w:szCs w:val="24"/>
        </w:rPr>
        <w:t>TC-10 Aceptar limite inferior de nota</w:t>
      </w:r>
    </w:p>
    <w:p>
      <w:pPr>
        <w:keepNext/>
        <w:widowControl/>
      </w:pPr>
      <w:r>
        <w:rPr>
          <w:rFonts w:ascii="Arial" w:hAnsi="Arial" w:eastAsia="Arial" w:cs="Arial"/>
          <w:b w:val="0"/>
          <w:color w:val="000000"/>
          <w:sz w:val="24"/>
          <w:szCs w:val="24"/>
        </w:rPr>
        <w:t>Tipo: frontera. Modalidad: integracion HTTP automatizada. Responsable: Jania. Prioridad: alta.</w:t>
      </w:r>
    </w:p>
    <w:p>
      <w:pPr>
        <w:keepNext/>
        <w:widowControl/>
      </w:pPr>
      <w:r>
        <w:rPr>
          <w:rFonts w:ascii="Arial" w:hAnsi="Arial" w:eastAsia="Arial" w:cs="Arial"/>
          <w:b w:val="0"/>
          <w:color w:val="000000"/>
          <w:sz w:val="24"/>
          <w:szCs w:val="24"/>
        </w:rPr>
        <w:t>Requisitos: SEC-02;SEC-04;SEC-06. Riesgos: R-02;R-04;R-05.</w:t>
      </w:r>
    </w:p>
    <w:p>
      <w:r>
        <w:rPr>
          <w:rFonts w:ascii="Arial" w:hAnsi="Arial" w:eastAsia="Arial" w:cs="Arial"/>
          <w:b/>
          <w:color w:val="000000"/>
          <w:sz w:val="24"/>
          <w:szCs w:val="24"/>
        </w:rPr>
        <w:t xml:space="preserve">Precondiciones: </w:t>
      </w:r>
      <w:r>
        <w:rPr>
          <w:rFonts w:ascii="Arial" w:hAnsi="Arial" w:eastAsia="Arial" w:cs="Arial"/>
          <w:color w:val="000000"/>
          <w:sz w:val="24"/>
          <w:szCs w:val="24"/>
        </w:rPr>
        <w:t>Servidor de prueba local nuevo; Maria;101=82</w:t>
      </w:r>
    </w:p>
    <w:p>
      <w:r>
        <w:rPr>
          <w:rFonts w:ascii="Arial" w:hAnsi="Arial" w:eastAsia="Arial" w:cs="Arial"/>
          <w:b/>
          <w:color w:val="000000"/>
          <w:sz w:val="24"/>
          <w:szCs w:val="24"/>
        </w:rPr>
        <w:t xml:space="preserve">Entradas: </w:t>
      </w:r>
      <w:r>
        <w:rPr>
          <w:rFonts w:ascii="Arial" w:hAnsi="Arial" w:eastAsia="Arial" w:cs="Arial"/>
          <w:color w:val="000000"/>
          <w:sz w:val="24"/>
          <w:szCs w:val="24"/>
        </w:rPr>
        <w:t>POST /expedientes/101/nota;Bearer lab-maria;{"nota":0}</w:t>
      </w:r>
    </w:p>
    <w:p>
      <w:r>
        <w:rPr>
          <w:rFonts w:ascii="Arial" w:hAnsi="Arial" w:eastAsia="Arial" w:cs="Arial"/>
          <w:b/>
          <w:color w:val="000000"/>
          <w:sz w:val="24"/>
          <w:szCs w:val="24"/>
        </w:rPr>
        <w:t xml:space="preserve">Pasos: </w:t>
      </w:r>
      <w:r>
        <w:rPr>
          <w:rFonts w:ascii="Arial" w:hAnsi="Arial" w:eastAsia="Arial" w:cs="Arial"/>
          <w:color w:val="000000"/>
          <w:sz w:val="24"/>
          <w:szCs w:val="24"/>
        </w:rPr>
        <w:t>Iniciar servidor de prueba; enviar HTTP real; comprobar respuesta, GET posterior y auditoria; cerrar servidor</w:t>
      </w:r>
    </w:p>
    <w:p>
      <w:r>
        <w:rPr>
          <w:rFonts w:ascii="Arial" w:hAnsi="Arial" w:eastAsia="Arial" w:cs="Arial"/>
          <w:b/>
          <w:color w:val="000000"/>
          <w:sz w:val="24"/>
          <w:szCs w:val="24"/>
        </w:rPr>
        <w:t xml:space="preserve">Esperado: </w:t>
      </w:r>
      <w:r>
        <w:rPr>
          <w:rFonts w:ascii="Arial" w:hAnsi="Arial" w:eastAsia="Arial" w:cs="Arial"/>
          <w:color w:val="000000"/>
          <w:sz w:val="24"/>
          <w:szCs w:val="24"/>
        </w:rPr>
        <w:t>200; nota 0 devuelta y persistida; auditoria sin token; recursos cerrados</w:t>
      </w:r>
    </w:p>
    <w:p>
      <w:r>
        <w:rPr>
          <w:rFonts w:ascii="Arial" w:hAnsi="Arial" w:eastAsia="Arial" w:cs="Arial"/>
          <w:b/>
          <w:color w:val="000000"/>
          <w:sz w:val="24"/>
          <w:szCs w:val="24"/>
        </w:rPr>
        <w:t xml:space="preserve">Observado: </w:t>
      </w:r>
      <w:r>
        <w:rPr>
          <w:rFonts w:ascii="Arial" w:hAnsi="Arial" w:eastAsia="Arial" w:cs="Arial"/>
          <w:color w:val="000000"/>
          <w:sz w:val="24"/>
          <w:szCs w:val="24"/>
        </w:rPr>
        <w:t>Pendiente Jania</w:t>
      </w:r>
    </w:p>
    <w:p>
      <w:r>
        <w:rPr>
          <w:rFonts w:ascii="Arial" w:hAnsi="Arial" w:eastAsia="Arial" w:cs="Arial"/>
          <w:b/>
          <w:color w:val="000000"/>
          <w:sz w:val="24"/>
          <w:szCs w:val="24"/>
        </w:rPr>
        <w:t xml:space="preserve">Estado: </w:t>
      </w:r>
      <w:r>
        <w:rPr>
          <w:rFonts w:ascii="Arial" w:hAnsi="Arial" w:eastAsia="Arial" w:cs="Arial"/>
          <w:color w:val="000000"/>
          <w:sz w:val="24"/>
          <w:szCs w:val="24"/>
        </w:rPr>
        <w:t>no ejecutado</w:t>
      </w:r>
    </w:p>
    <w:p>
      <w:r>
        <w:rPr>
          <w:rFonts w:ascii="Arial" w:hAnsi="Arial" w:eastAsia="Arial" w:cs="Arial"/>
          <w:b/>
          <w:color w:val="000000"/>
          <w:sz w:val="24"/>
          <w:szCs w:val="24"/>
        </w:rPr>
        <w:t xml:space="preserve">Evidencia: </w:t>
      </w:r>
      <w:r>
        <w:rPr>
          <w:rFonts w:ascii="Arial" w:hAnsi="Arial" w:eastAsia="Arial" w:cs="Arial"/>
          <w:color w:val="000000"/>
          <w:sz w:val="24"/>
          <w:szCs w:val="24"/>
        </w:rPr>
        <w:t>Pendiente: evidencia de Jania con ID de caso, comandos, entorno y salida</w:t>
      </w:r>
    </w:p>
    <w:p>
      <w:pPr>
        <w:pStyle w:val="Heading3"/>
        <w:keepNext/>
        <w:widowControl/>
      </w:pPr>
      <w:r>
        <w:rPr>
          <w:rFonts w:ascii="Arial" w:hAnsi="Arial" w:eastAsia="Arial" w:cs="Arial"/>
          <w:b/>
          <w:color w:val="000000"/>
          <w:sz w:val="24"/>
          <w:szCs w:val="24"/>
        </w:rPr>
        <w:t>TC-11 Aceptar limite superior de nota</w:t>
      </w:r>
    </w:p>
    <w:p>
      <w:pPr>
        <w:keepNext/>
        <w:widowControl/>
      </w:pPr>
      <w:r>
        <w:rPr>
          <w:rFonts w:ascii="Arial" w:hAnsi="Arial" w:eastAsia="Arial" w:cs="Arial"/>
          <w:b w:val="0"/>
          <w:color w:val="000000"/>
          <w:sz w:val="24"/>
          <w:szCs w:val="24"/>
        </w:rPr>
        <w:t>Tipo: frontera. Modalidad: integracion HTTP automatizada. Responsable: Jania. Prioridad: alta.</w:t>
      </w:r>
    </w:p>
    <w:p>
      <w:pPr>
        <w:keepNext/>
        <w:widowControl/>
      </w:pPr>
      <w:r>
        <w:rPr>
          <w:rFonts w:ascii="Arial" w:hAnsi="Arial" w:eastAsia="Arial" w:cs="Arial"/>
          <w:b w:val="0"/>
          <w:color w:val="000000"/>
          <w:sz w:val="24"/>
          <w:szCs w:val="24"/>
        </w:rPr>
        <w:t>Requisitos: SEC-02;SEC-04;SEC-06. Riesgos: R-02;R-04;R-05.</w:t>
      </w:r>
    </w:p>
    <w:p>
      <w:r>
        <w:rPr>
          <w:rFonts w:ascii="Arial" w:hAnsi="Arial" w:eastAsia="Arial" w:cs="Arial"/>
          <w:b/>
          <w:color w:val="000000"/>
          <w:sz w:val="24"/>
          <w:szCs w:val="24"/>
        </w:rPr>
        <w:t xml:space="preserve">Precondiciones: </w:t>
      </w:r>
      <w:r>
        <w:rPr>
          <w:rFonts w:ascii="Arial" w:hAnsi="Arial" w:eastAsia="Arial" w:cs="Arial"/>
          <w:color w:val="000000"/>
          <w:sz w:val="24"/>
          <w:szCs w:val="24"/>
        </w:rPr>
        <w:t>Servidor de prueba local nuevo; Maria;101=82</w:t>
      </w:r>
    </w:p>
    <w:p>
      <w:r>
        <w:rPr>
          <w:rFonts w:ascii="Arial" w:hAnsi="Arial" w:eastAsia="Arial" w:cs="Arial"/>
          <w:b/>
          <w:color w:val="000000"/>
          <w:sz w:val="24"/>
          <w:szCs w:val="24"/>
        </w:rPr>
        <w:t xml:space="preserve">Entradas: </w:t>
      </w:r>
      <w:r>
        <w:rPr>
          <w:rFonts w:ascii="Arial" w:hAnsi="Arial" w:eastAsia="Arial" w:cs="Arial"/>
          <w:color w:val="000000"/>
          <w:sz w:val="24"/>
          <w:szCs w:val="24"/>
        </w:rPr>
        <w:t>POST /expedientes/101/nota;Bearer lab-maria;{"nota":100}</w:t>
      </w:r>
    </w:p>
    <w:p>
      <w:r>
        <w:rPr>
          <w:rFonts w:ascii="Arial" w:hAnsi="Arial" w:eastAsia="Arial" w:cs="Arial"/>
          <w:b/>
          <w:color w:val="000000"/>
          <w:sz w:val="24"/>
          <w:szCs w:val="24"/>
        </w:rPr>
        <w:t xml:space="preserve">Pasos: </w:t>
      </w:r>
      <w:r>
        <w:rPr>
          <w:rFonts w:ascii="Arial" w:hAnsi="Arial" w:eastAsia="Arial" w:cs="Arial"/>
          <w:color w:val="000000"/>
          <w:sz w:val="24"/>
          <w:szCs w:val="24"/>
        </w:rPr>
        <w:t>Iniciar servidor de prueba; enviar HTTP real; comprobar respuesta, GET posterior y auditoria; cerrar servidor</w:t>
      </w:r>
    </w:p>
    <w:p>
      <w:r>
        <w:rPr>
          <w:rFonts w:ascii="Arial" w:hAnsi="Arial" w:eastAsia="Arial" w:cs="Arial"/>
          <w:b/>
          <w:color w:val="000000"/>
          <w:sz w:val="24"/>
          <w:szCs w:val="24"/>
        </w:rPr>
        <w:t xml:space="preserve">Esperado: </w:t>
      </w:r>
      <w:r>
        <w:rPr>
          <w:rFonts w:ascii="Arial" w:hAnsi="Arial" w:eastAsia="Arial" w:cs="Arial"/>
          <w:color w:val="000000"/>
          <w:sz w:val="24"/>
          <w:szCs w:val="24"/>
        </w:rPr>
        <w:t>200; nota 100 devuelta y persistida; auditoria sin token; recursos cerrados</w:t>
      </w:r>
    </w:p>
    <w:p>
      <w:r>
        <w:rPr>
          <w:rFonts w:ascii="Arial" w:hAnsi="Arial" w:eastAsia="Arial" w:cs="Arial"/>
          <w:b/>
          <w:color w:val="000000"/>
          <w:sz w:val="24"/>
          <w:szCs w:val="24"/>
        </w:rPr>
        <w:t xml:space="preserve">Observado: </w:t>
      </w:r>
      <w:r>
        <w:rPr>
          <w:rFonts w:ascii="Arial" w:hAnsi="Arial" w:eastAsia="Arial" w:cs="Arial"/>
          <w:color w:val="000000"/>
          <w:sz w:val="24"/>
          <w:szCs w:val="24"/>
        </w:rPr>
        <w:t>Pendiente Jania</w:t>
      </w:r>
    </w:p>
    <w:p>
      <w:r>
        <w:rPr>
          <w:rFonts w:ascii="Arial" w:hAnsi="Arial" w:eastAsia="Arial" w:cs="Arial"/>
          <w:b/>
          <w:color w:val="000000"/>
          <w:sz w:val="24"/>
          <w:szCs w:val="24"/>
        </w:rPr>
        <w:t xml:space="preserve">Estado: </w:t>
      </w:r>
      <w:r>
        <w:rPr>
          <w:rFonts w:ascii="Arial" w:hAnsi="Arial" w:eastAsia="Arial" w:cs="Arial"/>
          <w:color w:val="000000"/>
          <w:sz w:val="24"/>
          <w:szCs w:val="24"/>
        </w:rPr>
        <w:t>no ejecutado</w:t>
      </w:r>
    </w:p>
    <w:p>
      <w:r>
        <w:rPr>
          <w:rFonts w:ascii="Arial" w:hAnsi="Arial" w:eastAsia="Arial" w:cs="Arial"/>
          <w:b/>
          <w:color w:val="000000"/>
          <w:sz w:val="24"/>
          <w:szCs w:val="24"/>
        </w:rPr>
        <w:t xml:space="preserve">Evidencia: </w:t>
      </w:r>
      <w:r>
        <w:rPr>
          <w:rFonts w:ascii="Arial" w:hAnsi="Arial" w:eastAsia="Arial" w:cs="Arial"/>
          <w:color w:val="000000"/>
          <w:sz w:val="24"/>
          <w:szCs w:val="24"/>
        </w:rPr>
        <w:t>Pendiente: evidencia de Jania con ID de caso, comandos, entorno y salida</w:t>
      </w:r>
    </w:p>
    <w:p>
      <w:pPr>
        <w:pStyle w:val="Heading3"/>
        <w:keepNext/>
        <w:widowControl/>
      </w:pPr>
      <w:r>
        <w:rPr>
          <w:rFonts w:ascii="Arial" w:hAnsi="Arial" w:eastAsia="Arial" w:cs="Arial"/>
          <w:b/>
          <w:color w:val="000000"/>
          <w:sz w:val="24"/>
          <w:szCs w:val="24"/>
        </w:rPr>
        <w:t>TC-12 Rechazar extremos externos y tipos invalidos sin persistir</w:t>
      </w:r>
    </w:p>
    <w:p>
      <w:pPr>
        <w:keepNext/>
        <w:widowControl/>
      </w:pPr>
      <w:r>
        <w:rPr>
          <w:rFonts w:ascii="Arial" w:hAnsi="Arial" w:eastAsia="Arial" w:cs="Arial"/>
          <w:b w:val="0"/>
          <w:color w:val="000000"/>
          <w:sz w:val="24"/>
          <w:szCs w:val="24"/>
        </w:rPr>
        <w:t>Tipo: frontera. Modalidad: HTTP manual con curl. Responsable: Wilberth. Prioridad: alta.</w:t>
      </w:r>
    </w:p>
    <w:p>
      <w:pPr>
        <w:keepNext/>
        <w:widowControl/>
      </w:pPr>
      <w:r>
        <w:rPr>
          <w:rFonts w:ascii="Arial" w:hAnsi="Arial" w:eastAsia="Arial" w:cs="Arial"/>
          <w:b w:val="0"/>
          <w:color w:val="000000"/>
          <w:sz w:val="24"/>
          <w:szCs w:val="24"/>
        </w:rPr>
        <w:t>Requisitos: SEC-04. Riesgos: R-04.</w:t>
      </w:r>
    </w:p>
    <w:p>
      <w:r>
        <w:rPr>
          <w:rFonts w:ascii="Arial" w:hAnsi="Arial" w:eastAsia="Arial" w:cs="Arial"/>
          <w:b/>
          <w:color w:val="000000"/>
          <w:sz w:val="24"/>
          <w:szCs w:val="24"/>
        </w:rPr>
        <w:t xml:space="preserve">Precondiciones: </w:t>
      </w:r>
      <w:r>
        <w:rPr>
          <w:rFonts w:ascii="Arial" w:hAnsi="Arial" w:eastAsia="Arial" w:cs="Arial"/>
          <w:color w:val="000000"/>
          <w:sz w:val="24"/>
          <w:szCs w:val="24"/>
        </w:rPr>
        <w:t>Servidor nuevo por variante; Maria;101=82;202=91</w:t>
      </w:r>
    </w:p>
    <w:p>
      <w:r>
        <w:rPr>
          <w:rFonts w:ascii="Arial" w:hAnsi="Arial" w:eastAsia="Arial" w:cs="Arial"/>
          <w:b/>
          <w:color w:val="000000"/>
          <w:sz w:val="24"/>
          <w:szCs w:val="24"/>
        </w:rPr>
        <w:t xml:space="preserve">Entradas: </w:t>
      </w:r>
      <w:r>
        <w:rPr>
          <w:rFonts w:ascii="Arial" w:hAnsi="Arial" w:eastAsia="Arial" w:cs="Arial"/>
          <w:color w:val="000000"/>
          <w:sz w:val="24"/>
          <w:szCs w:val="24"/>
        </w:rPr>
        <w:t>POST /expedientes/101/nota;Bearer lab-maria;nota=-1;101;"ochenta";true;10 elevado a 400 (numero JSON)</w:t>
      </w:r>
    </w:p>
    <w:p>
      <w:r>
        <w:rPr>
          <w:rFonts w:ascii="Arial" w:hAnsi="Arial" w:eastAsia="Arial" w:cs="Arial"/>
          <w:b/>
          <w:color w:val="000000"/>
          <w:sz w:val="24"/>
          <w:szCs w:val="24"/>
        </w:rPr>
        <w:t xml:space="preserve">Pasos: </w:t>
      </w:r>
      <w:r>
        <w:rPr>
          <w:rFonts w:ascii="Arial" w:hAnsi="Arial" w:eastAsia="Arial" w:cs="Arial"/>
          <w:color w:val="000000"/>
          <w:sz w:val="24"/>
          <w:szCs w:val="24"/>
        </w:rPr>
        <w:t>Reiniciar por variante; GET autorizado de ambos antes; POST del valor; GET autorizado de ambos despues; comparar</w:t>
      </w:r>
    </w:p>
    <w:p>
      <w:r>
        <w:rPr>
          <w:rFonts w:ascii="Arial" w:hAnsi="Arial" w:eastAsia="Arial" w:cs="Arial"/>
          <w:b/>
          <w:color w:val="000000"/>
          <w:sz w:val="24"/>
          <w:szCs w:val="24"/>
        </w:rPr>
        <w:t xml:space="preserve">Esperado: </w:t>
      </w:r>
      <w:r>
        <w:rPr>
          <w:rFonts w:ascii="Arial" w:hAnsi="Arial" w:eastAsia="Arial" w:cs="Arial"/>
          <w:color w:val="000000"/>
          <w:sz w:val="24"/>
          <w:szCs w:val="24"/>
        </w:rPr>
        <w:t>400 por variante; ambos expedientes intactos; entero grande rechazado sin convertir a float</w:t>
      </w:r>
    </w:p>
    <w:p>
      <w:r>
        <w:rPr>
          <w:rFonts w:ascii="Arial" w:hAnsi="Arial" w:eastAsia="Arial" w:cs="Arial"/>
          <w:b/>
          <w:color w:val="000000"/>
          <w:sz w:val="24"/>
          <w:szCs w:val="24"/>
        </w:rPr>
        <w:t xml:space="preserve">Observado: </w:t>
      </w:r>
      <w:r>
        <w:rPr>
          <w:rFonts w:ascii="Arial" w:hAnsi="Arial" w:eastAsia="Arial" w:cs="Arial"/>
          <w:color w:val="000000"/>
          <w:sz w:val="24"/>
          <w:szCs w:val="24"/>
        </w:rPr>
        <w:t>Antes cuatro variantes persistian y texto ya se rechazaba; despues cinco variantes 400 sin cambios</w:t>
      </w:r>
    </w:p>
    <w:p>
      <w:r>
        <w:rPr>
          <w:rFonts w:ascii="Arial" w:hAnsi="Arial" w:eastAsia="Arial" w:cs="Arial"/>
          <w:b/>
          <w:color w:val="000000"/>
          <w:sz w:val="24"/>
          <w:szCs w:val="24"/>
        </w:rPr>
        <w:t xml:space="preserve">Estado: </w:t>
      </w:r>
      <w:r>
        <w:rPr>
          <w:rFonts w:ascii="Arial" w:hAnsi="Arial" w:eastAsia="Arial" w:cs="Arial"/>
          <w:color w:val="000000"/>
          <w:sz w:val="24"/>
          <w:szCs w:val="24"/>
        </w:rPr>
        <w:t>aprobado</w:t>
      </w:r>
    </w:p>
    <w:p>
      <w:r>
        <w:rPr>
          <w:rFonts w:ascii="Arial" w:hAnsi="Arial" w:eastAsia="Arial" w:cs="Arial"/>
          <w:b/>
          <w:color w:val="000000"/>
          <w:sz w:val="24"/>
          <w:szCs w:val="24"/>
        </w:rPr>
        <w:t xml:space="preserve">Evidencia: </w:t>
      </w:r>
      <w:r>
        <w:rPr>
          <w:rFonts w:ascii="Arial" w:hAnsi="Arial" w:eastAsia="Arial" w:cs="Arial"/>
          <w:color w:val="000000"/>
          <w:sz w:val="24"/>
          <w:szCs w:val="24"/>
        </w:rPr>
        <w:t>evidencias/wilberth_api_antes.txt; evidencias/wilberth_api_despues.txt</w:t>
      </w:r>
    </w:p>
    <w:p>
      <w:pPr>
        <w:pStyle w:val="Heading2"/>
        <w:widowControl/>
      </w:pPr>
      <w:r>
        <w:rPr>
          <w:rFonts w:ascii="Arial" w:hAnsi="Arial" w:eastAsia="Arial" w:cs="Arial"/>
          <w:b/>
          <w:color w:val="000000"/>
          <w:sz w:val="24"/>
          <w:szCs w:val="24"/>
        </w:rPr>
        <w:t>4 2 Explicación de los dos ciclos TDD</w:t>
      </w:r>
    </w:p>
    <w:p>
      <w:pPr>
        <w:pStyle w:val="Heading3"/>
        <w:widowControl/>
      </w:pPr>
      <w:r>
        <w:rPr>
          <w:rFonts w:ascii="Arial" w:hAnsi="Arial" w:eastAsia="Arial" w:cs="Arial"/>
          <w:b/>
          <w:color w:val="000000"/>
          <w:sz w:val="24"/>
          <w:szCs w:val="24"/>
        </w:rPr>
        <w:t>Primer ciclo de acceso indebido</w:t>
      </w:r>
    </w:p>
    <w:p>
      <w:pPr>
        <w:widowControl/>
      </w:pPr>
      <w:r>
        <w:rPr>
          <w:rFonts w:ascii="Arial" w:hAnsi="Arial" w:eastAsia="Arial" w:cs="Arial"/>
          <w:b w:val="0"/>
          <w:color w:val="000000"/>
          <w:sz w:val="24"/>
          <w:szCs w:val="24"/>
        </w:rPr>
        <w:t>Wilberth reforzó TC-04 antes de modificar la lógica. El rojo demostró 403 esperado frente a 200 observado. El verde añadió la condición mínima para impedir que un estudiante lea un expediente ajeno. El refactor extrajo esa condición a una función interna sin cambiar el comportamiento.</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296"/>
        <w:gridCol w:w="1440"/>
        <w:gridCol w:w="6624"/>
      </w:tblGrid>
      <w:tr>
        <w:trPr>
          <w:cantSplit/>
          <w:tblHeader/>
        </w:trPr>
        <w:tc>
          <w:tcPr>
            <w:tcW w:type="dxa" w:w="1296"/>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color w:val="000000"/>
                <w:sz w:val="24"/>
                <w:szCs w:val="24"/>
              </w:rPr>
              <w:t>Etapa</w:t>
            </w:r>
          </w:p>
        </w:tc>
        <w:tc>
          <w:tcPr>
            <w:tcW w:type="dxa" w:w="1440"/>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color w:val="000000"/>
                <w:sz w:val="24"/>
                <w:szCs w:val="24"/>
              </w:rPr>
              <w:t>Commit</w:t>
            </w:r>
          </w:p>
        </w:tc>
        <w:tc>
          <w:tcPr>
            <w:tcW w:type="dxa" w:w="6624"/>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color w:val="000000"/>
                <w:sz w:val="24"/>
                <w:szCs w:val="24"/>
              </w:rPr>
              <w:t>Resultado</w:t>
            </w:r>
          </w:p>
        </w:tc>
      </w:tr>
      <w:tr>
        <w:trPr>
          <w:cantSplit/>
        </w:trPr>
        <w:tc>
          <w:tcPr>
            <w:tcW w:type="dxa" w:w="1296"/>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Rojo</w:t>
            </w:r>
          </w:p>
        </w:tc>
        <w:tc>
          <w:tcPr>
            <w:tcW w:type="dxa" w:w="1440"/>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4cf28d2</w:t>
            </w:r>
          </w:p>
        </w:tc>
        <w:tc>
          <w:tcPr>
            <w:tcW w:type="dxa" w:w="6624"/>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Una prueba falla por 403 != 200</w:t>
            </w:r>
          </w:p>
        </w:tc>
      </w:tr>
      <w:tr>
        <w:trPr>
          <w:cantSplit/>
        </w:trPr>
        <w:tc>
          <w:tcPr>
            <w:tcW w:type="dxa" w:w="1296"/>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Verde</w:t>
            </w:r>
          </w:p>
        </w:tc>
        <w:tc>
          <w:tcPr>
            <w:tcW w:type="dxa" w:w="1440"/>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e4cc9fc</w:t>
            </w:r>
          </w:p>
        </w:tc>
        <w:tc>
          <w:tcPr>
            <w:tcW w:type="dxa" w:w="6624"/>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Una prueba OK con denegación sin datos ni cambios</w:t>
            </w:r>
          </w:p>
        </w:tc>
      </w:tr>
      <w:tr>
        <w:trPr>
          <w:cantSplit/>
        </w:trPr>
        <w:tc>
          <w:tcPr>
            <w:tcW w:type="dxa" w:w="1296"/>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Refactor</w:t>
            </w:r>
          </w:p>
        </w:tc>
        <w:tc>
          <w:tcPr>
            <w:tcW w:type="dxa" w:w="1440"/>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9525e75</w:t>
            </w:r>
          </w:p>
        </w:tc>
        <w:tc>
          <w:tcPr>
            <w:tcW w:type="dxa" w:w="6624"/>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Tres pruebas relacionadas OK; sesión revocada sigue fallando en la suite completa</w:t>
            </w:r>
          </w:p>
        </w:tc>
      </w:tr>
    </w:tbl>
    <w:p>
      <w:pPr>
        <w:widowControl/>
      </w:pPr>
      <w:r>
        <w:rPr>
          <w:rFonts w:ascii="Arial" w:hAnsi="Arial" w:eastAsia="Arial" w:cs="Arial"/>
          <w:b w:val="0"/>
          <w:color w:val="000000"/>
          <w:sz w:val="24"/>
          <w:szCs w:val="24"/>
        </w:rPr>
        <w:t>Evidencias: evidencias/tdd1_registro.md; resumen RGB en evidencias/tdd1_resumen_rgb.html; logs, capturas y diffs tdd1_rojo, tdd1_verde y tdd1_refactor; tdd1_suite_completa.txt y .png. Después se amplió la política de lectura para docentes por sede y administrador global. Los registros históricos conservan los nombres de prueba de cada commit.</w:t>
      </w:r>
    </w:p>
    <w:p>
      <w:pPr>
        <w:pStyle w:val="Heading3"/>
        <w:widowControl/>
      </w:pPr>
      <w:r>
        <w:rPr>
          <w:rFonts w:ascii="Arial" w:hAnsi="Arial" w:eastAsia="Arial" w:cs="Arial"/>
          <w:b/>
          <w:color w:val="000000"/>
          <w:sz w:val="24"/>
          <w:szCs w:val="24"/>
        </w:rPr>
        <w:t>Segundo ciclo de validez de sesión</w:t>
      </w:r>
    </w:p>
    <w:p>
      <w:pPr>
        <w:widowControl/>
      </w:pPr>
      <w:r>
        <w:rPr>
          <w:rFonts w:ascii="Arial" w:hAnsi="Arial" w:eastAsia="Arial" w:cs="Arial"/>
          <w:b w:val="0"/>
          <w:color w:val="000000"/>
          <w:sz w:val="24"/>
          <w:szCs w:val="24"/>
        </w:rPr>
        <w:t>Pendiente de Jania. TC-08 ya demuestra lectura permitida tras revocación. Debe ampliar la prueba, conservar el rojo, aplicar la corrección mínima y refactorizar con evidencia de las tres etapas. No se considera completado.</w:t>
      </w:r>
    </w:p>
    <w:p>
      <w:pPr>
        <w:pStyle w:val="Heading2"/>
        <w:widowControl/>
      </w:pPr>
      <w:r>
        <w:rPr>
          <w:rFonts w:ascii="Arial" w:hAnsi="Arial" w:eastAsia="Arial" w:cs="Arial"/>
          <w:b/>
          <w:color w:val="000000"/>
          <w:sz w:val="24"/>
          <w:szCs w:val="24"/>
        </w:rPr>
        <w:t>4 3 Ejecución y regresión</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880"/>
        <w:gridCol w:w="6480"/>
      </w:tblGrid>
      <w:tr>
        <w:trPr>
          <w:cantSplit/>
          <w:tblHeader/>
        </w:trPr>
        <w:tc>
          <w:tcPr>
            <w:tcW w:type="dxa" w:w="2880"/>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color w:val="000000"/>
                <w:sz w:val="24"/>
                <w:szCs w:val="24"/>
              </w:rPr>
              <w:t>Ejecución</w:t>
            </w:r>
          </w:p>
        </w:tc>
        <w:tc>
          <w:tcPr>
            <w:tcW w:type="dxa" w:w="6480"/>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color w:val="000000"/>
                <w:sz w:val="24"/>
                <w:szCs w:val="24"/>
              </w:rPr>
              <w:t>Resultado observado</w:t>
            </w:r>
          </w:p>
        </w:tc>
      </w:tr>
      <w:tr>
        <w:trPr>
          <w:cantSplit/>
        </w:trPr>
        <w:tc>
          <w:tcPr>
            <w:tcW w:type="dxa" w:w="2880"/>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Unidad antes de corregir auditoría</w:t>
            </w:r>
          </w:p>
        </w:tc>
        <w:tc>
          <w:tcPr>
            <w:tcW w:type="dxa" w:w="6480"/>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4 métodos; fallan TC-01 y TC-03 por identidad ausente. Tres aserciones fallidas contando los subcasos de TC-03</w:t>
            </w:r>
          </w:p>
        </w:tc>
      </w:tr>
      <w:tr>
        <w:trPr>
          <w:cantSplit/>
        </w:trPr>
        <w:tc>
          <w:tcPr>
            <w:tcW w:type="dxa" w:w="2880"/>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Bloque Wilberth corrida 1</w:t>
            </w:r>
          </w:p>
        </w:tc>
        <w:tc>
          <w:tcPr>
            <w:tcW w:type="dxa" w:w="6480"/>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4 de 4 métodos aprobados, proceso nuevo</w:t>
            </w:r>
          </w:p>
        </w:tc>
      </w:tr>
      <w:tr>
        <w:trPr>
          <w:cantSplit/>
        </w:trPr>
        <w:tc>
          <w:tcPr>
            <w:tcW w:type="dxa" w:w="2880"/>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Bloque Wilberth corrida 2</w:t>
            </w:r>
          </w:p>
        </w:tc>
        <w:tc>
          <w:tcPr>
            <w:tcW w:type="dxa" w:w="6480"/>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4 de 4 métodos aprobados, proceso nuevo</w:t>
            </w:r>
          </w:p>
        </w:tc>
      </w:tr>
      <w:tr>
        <w:trPr>
          <w:cantSplit/>
        </w:trPr>
        <w:tc>
          <w:tcPr>
            <w:tcW w:type="dxa" w:w="2880"/>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Suite parcial del equipo</w:t>
            </w:r>
          </w:p>
        </w:tc>
        <w:tc>
          <w:tcPr>
            <w:tcW w:type="dxa" w:w="6480"/>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6 métodos: 5 aprobados y 1 fallido por sesión revocada</w:t>
            </w:r>
          </w:p>
        </w:tc>
      </w:tr>
      <w:tr>
        <w:trPr>
          <w:cantSplit/>
        </w:trPr>
        <w:tc>
          <w:tcPr>
            <w:tcW w:type="dxa" w:w="2880"/>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TC-05 HTTP</w:t>
            </w:r>
          </w:p>
        </w:tc>
        <w:tc>
          <w:tcPr>
            <w:tcW w:type="dxa" w:w="6480"/>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Antes 200 con datos de otra sede; después 403 sin datos, estado intacto y acceso legítimo de Pedro 200</w:t>
            </w:r>
          </w:p>
        </w:tc>
      </w:tr>
      <w:tr>
        <w:trPr>
          <w:cantSplit/>
        </w:trPr>
        <w:tc>
          <w:tcPr>
            <w:tcW w:type="dxa" w:w="2880"/>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TC-12 HTTP</w:t>
            </w:r>
          </w:p>
        </w:tc>
        <w:tc>
          <w:tcPr>
            <w:tcW w:type="dxa" w:w="6480"/>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Antes persistían cuatro variantes inválidas; después las cinco reciben 400 y ambos expedientes quedan intactos</w:t>
            </w:r>
          </w:p>
        </w:tc>
      </w:tr>
    </w:tbl>
    <w:p>
      <w:r>
        <w:rPr>
          <w:rFonts w:ascii="Arial" w:hAnsi="Arial" w:eastAsia="Arial" w:cs="Arial"/>
          <w:b/>
          <w:color w:val="000000"/>
          <w:sz w:val="24"/>
          <w:szCs w:val="24"/>
        </w:rPr>
        <w:t xml:space="preserve">Entorno: </w:t>
      </w:r>
      <w:r>
        <w:rPr>
          <w:rFonts w:ascii="Arial" w:hAnsi="Arial" w:eastAsia="Arial" w:cs="Arial"/>
          <w:color w:val="000000"/>
          <w:sz w:val="24"/>
          <w:szCs w:val="24"/>
        </w:rPr>
        <w:t>Windows, Python 3.14.7, unittest y curl.exe; biblioteca estándar</w:t>
      </w:r>
    </w:p>
    <w:p>
      <w:r>
        <w:rPr>
          <w:rFonts w:ascii="Arial" w:hAnsi="Arial" w:eastAsia="Arial" w:cs="Arial"/>
          <w:b/>
          <w:color w:val="000000"/>
          <w:sz w:val="24"/>
          <w:szCs w:val="24"/>
        </w:rPr>
        <w:t xml:space="preserve">Comando de Wilberth: </w:t>
      </w:r>
      <w:r>
        <w:rPr>
          <w:rFonts w:ascii="Arial" w:hAnsi="Arial" w:eastAsia="Arial" w:cs="Arial"/>
          <w:color w:val="000000"/>
          <w:sz w:val="24"/>
          <w:szCs w:val="24"/>
        </w:rPr>
        <w:t>python -m unittest discover -s tests -k SeguridadWilberth -v</w:t>
      </w:r>
    </w:p>
    <w:p>
      <w:r>
        <w:rPr>
          <w:rFonts w:ascii="Arial" w:hAnsi="Arial" w:eastAsia="Arial" w:cs="Arial"/>
          <w:b/>
          <w:color w:val="000000"/>
          <w:sz w:val="24"/>
          <w:szCs w:val="24"/>
        </w:rPr>
        <w:t xml:space="preserve">Comando de toda la suite: </w:t>
      </w:r>
      <w:r>
        <w:rPr>
          <w:rFonts w:ascii="Arial" w:hAnsi="Arial" w:eastAsia="Arial" w:cs="Arial"/>
          <w:color w:val="000000"/>
          <w:sz w:val="24"/>
          <w:szCs w:val="24"/>
        </w:rPr>
        <w:t>python -m unittest discover -s tests -v</w:t>
      </w:r>
    </w:p>
    <w:p>
      <w:pPr>
        <w:widowControl/>
      </w:pPr>
      <w:r>
        <w:rPr>
          <w:rFonts w:ascii="Arial" w:hAnsi="Arial" w:eastAsia="Arial" w:cs="Arial"/>
          <w:b w:val="0"/>
          <w:color w:val="000000"/>
          <w:sz w:val="24"/>
          <w:szCs w:val="24"/>
        </w:rPr>
        <w:t>Logs: evidencias/wilberth_unidad_antes.txt, wilberth_unidad_corrida1.txt, wilberth_unidad_corrida2.txt, suite_parcial_equipo.txt y wilberth_api_antes/despues.txt. Incluyen entorno, fecha, comandos y resultados reales. Cada prueba crea estado nuevo y las peticiones HTTP reinician servidor por variante. Las dos corridas parciales no sustituyen las dos finales completas tras integrar a Jania.</w:t>
      </w:r>
    </w:p>
    <w:p>
      <w:pPr>
        <w:widowControl/>
      </w:pPr>
      <w:r>
        <w:rPr>
          <w:rFonts w:ascii="Arial" w:hAnsi="Arial" w:eastAsia="Arial" w:cs="Arial"/>
          <w:b w:val="0"/>
          <w:color w:val="000000"/>
          <w:sz w:val="24"/>
          <w:szCs w:val="24"/>
        </w:rPr>
        <w:t>Wilberth confirmó 4 de 4 pruebas propias y el único fallo de la suite completa en verificacion_wilberth.png. Sus capturas verificacion_http_denegaciones.png y verificacion_http_estado.png muestran 403 entre sedes, 400 para nota 101 y consulta posterior 200 con nota 82 conservada.</w:t>
      </w:r>
    </w:p>
    <w:p>
      <w:pPr>
        <w:pStyle w:val="Heading1"/>
        <w:pageBreakBefore/>
        <w:widowControl/>
      </w:pPr>
      <w:bookmarkStart w:id="5" w:name="informe_seccion_5"/>
      <w:r>
        <w:rPr>
          <w:rFonts w:ascii="Arial" w:hAnsi="Arial" w:eastAsia="Arial" w:cs="Arial"/>
          <w:b/>
          <w:color w:val="000000"/>
          <w:sz w:val="24"/>
          <w:szCs w:val="24"/>
        </w:rPr>
        <w:t>5 Acta de inspección evaluación de usabilidad registro de hallazgos y conclusiones</w:t>
      </w:r>
      <w:bookmarkEnd w:id="5"/>
    </w:p>
    <w:p>
      <w:pPr>
        <w:pStyle w:val="Heading2"/>
        <w:widowControl/>
      </w:pPr>
      <w:r>
        <w:rPr>
          <w:rFonts w:ascii="Arial" w:hAnsi="Arial" w:eastAsia="Arial" w:cs="Arial"/>
          <w:b/>
          <w:color w:val="000000"/>
          <w:sz w:val="24"/>
          <w:szCs w:val="24"/>
        </w:rPr>
        <w:t>5 1 Acta de inspección</w:t>
      </w:r>
    </w:p>
    <w:p>
      <w:pPr>
        <w:widowControl/>
      </w:pPr>
      <w:r>
        <w:rPr>
          <w:rFonts w:ascii="Arial" w:hAnsi="Arial" w:eastAsia="Arial" w:cs="Arial"/>
          <w:b w:val="0"/>
          <w:color w:val="000000"/>
          <w:sz w:val="24"/>
          <w:szCs w:val="24"/>
        </w:rPr>
        <w:t>La inspección cruzada está pendiente. Una persona distinta del autor revisará una política y dos casos, y registrará al menos tres observaciones verificables con severidad y acción. La lectura asistida del código no sustituye esta actividad humana.</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60"/>
        <w:gridCol w:w="7200"/>
      </w:tblGrid>
      <w:tr>
        <w:trPr>
          <w:cantSplit/>
          <w:tblHeader/>
        </w:trPr>
        <w:tc>
          <w:tcPr>
            <w:tcW w:type="dxa" w:w="2160"/>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color w:val="000000"/>
                <w:sz w:val="24"/>
                <w:szCs w:val="24"/>
              </w:rPr>
              <w:t>Campo</w:t>
            </w:r>
          </w:p>
        </w:tc>
        <w:tc>
          <w:tcPr>
            <w:tcW w:type="dxa" w:w="7200"/>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color w:val="000000"/>
                <w:sz w:val="24"/>
                <w:szCs w:val="24"/>
              </w:rPr>
              <w:t>Registro pendiente</w:t>
            </w:r>
          </w:p>
        </w:tc>
      </w:tr>
      <w:tr>
        <w:trPr>
          <w:cantSplit/>
        </w:trPr>
        <w:tc>
          <w:tcPr>
            <w:tcW w:type="dxa" w:w="2160"/>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Revisor y fecha</w:t>
            </w:r>
          </w:p>
        </w:tc>
        <w:tc>
          <w:tcPr>
            <w:tcW w:type="dxa" w:w="7200"/>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[Completar por quien realiza la inspección]</w:t>
            </w:r>
          </w:p>
        </w:tc>
      </w:tr>
      <w:tr>
        <w:trPr>
          <w:cantSplit/>
        </w:trPr>
        <w:tc>
          <w:tcPr>
            <w:tcW w:type="dxa" w:w="2160"/>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Autor del objeto</w:t>
            </w:r>
          </w:p>
        </w:tc>
        <w:tc>
          <w:tcPr>
            <w:tcW w:type="dxa" w:w="7200"/>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[Completar]</w:t>
            </w:r>
          </w:p>
        </w:tc>
      </w:tr>
      <w:tr>
        <w:trPr>
          <w:cantSplit/>
        </w:trPr>
        <w:tc>
          <w:tcPr>
            <w:tcW w:type="dxa" w:w="2160"/>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Objetos</w:t>
            </w:r>
          </w:p>
        </w:tc>
        <w:tc>
          <w:tcPr>
            <w:tcW w:type="dxa" w:w="7200"/>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Política de lectura y dos casos de Wilberth; luego política de escritura y dos casos de Jania</w:t>
            </w:r>
          </w:p>
        </w:tc>
      </w:tr>
      <w:tr>
        <w:trPr>
          <w:cantSplit/>
        </w:trPr>
        <w:tc>
          <w:tcPr>
            <w:tcW w:type="dxa" w:w="2160"/>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Comprobaciones</w:t>
            </w:r>
          </w:p>
        </w:tc>
        <w:tc>
          <w:tcPr>
            <w:tcW w:type="dxa" w:w="7200"/>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Efecto sobre datos, independencia y capacidad de fallar al fallar el control</w:t>
            </w:r>
          </w:p>
        </w:tc>
      </w:tr>
      <w:tr>
        <w:trPr>
          <w:cantSplit/>
        </w:trPr>
        <w:tc>
          <w:tcPr>
            <w:tcW w:type="dxa" w:w="2160"/>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Estado</w:t>
            </w:r>
          </w:p>
        </w:tc>
        <w:tc>
          <w:tcPr>
            <w:tcW w:type="dxa" w:w="7200"/>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No realizada; confirmar observaciones y acciones</w:t>
            </w:r>
          </w:p>
        </w:tc>
      </w:tr>
    </w:tbl>
    <w:p>
      <w:pPr>
        <w:pStyle w:val="Heading3"/>
        <w:keepNext/>
        <w:widowControl/>
      </w:pPr>
      <w:r>
        <w:rPr>
          <w:rFonts w:ascii="Arial" w:hAnsi="Arial" w:eastAsia="Arial" w:cs="Arial"/>
          <w:b/>
          <w:color w:val="000000"/>
          <w:sz w:val="24"/>
          <w:szCs w:val="24"/>
        </w:rPr>
        <w:t>O-01</w:t>
      </w:r>
    </w:p>
    <w:p>
      <w:pPr>
        <w:keepNext/>
      </w:pPr>
      <w:r>
        <w:rPr>
          <w:rFonts w:ascii="Arial" w:hAnsi="Arial" w:eastAsia="Arial" w:cs="Arial"/>
          <w:b/>
          <w:color w:val="000000"/>
          <w:sz w:val="24"/>
          <w:szCs w:val="24"/>
        </w:rPr>
        <w:t xml:space="preserve">Objeto: </w:t>
      </w:r>
      <w:r>
        <w:rPr>
          <w:rFonts w:ascii="Arial" w:hAnsi="Arial" w:eastAsia="Arial" w:cs="Arial"/>
          <w:color w:val="000000"/>
          <w:sz w:val="24"/>
          <w:szCs w:val="24"/>
        </w:rPr>
        <w:t>Prueba de consulta propia</w:t>
      </w:r>
    </w:p>
    <w:p>
      <w:pPr>
        <w:keepNext/>
      </w:pPr>
      <w:r>
        <w:rPr>
          <w:rFonts w:ascii="Arial" w:hAnsi="Arial" w:eastAsia="Arial" w:cs="Arial"/>
          <w:b/>
          <w:color w:val="000000"/>
          <w:sz w:val="24"/>
          <w:szCs w:val="24"/>
        </w:rPr>
        <w:t xml:space="preserve">Observación y severidad: </w:t>
      </w:r>
      <w:r>
        <w:rPr>
          <w:rFonts w:ascii="Arial" w:hAnsi="Arial" w:eastAsia="Arial" w:cs="Arial"/>
          <w:color w:val="000000"/>
          <w:sz w:val="24"/>
          <w:szCs w:val="24"/>
        </w:rPr>
        <w:t>La prueba base solo verificaba identidad y 200. Ahora comprueba respuesta completa, invariancia y auditoría sin token. Media: el oráculo anterior no detectaba defectos de trazabilidad</w:t>
      </w:r>
    </w:p>
    <w:p>
      <w:r>
        <w:rPr>
          <w:rFonts w:ascii="Arial" w:hAnsi="Arial" w:eastAsia="Arial" w:cs="Arial"/>
          <w:b/>
          <w:color w:val="000000"/>
          <w:sz w:val="24"/>
          <w:szCs w:val="24"/>
        </w:rPr>
        <w:t xml:space="preserve">Acción y estado: </w:t>
      </w:r>
      <w:r>
        <w:rPr>
          <w:rFonts w:ascii="Arial" w:hAnsi="Arial" w:eastAsia="Arial" w:cs="Arial"/>
          <w:color w:val="000000"/>
          <w:sz w:val="24"/>
          <w:szCs w:val="24"/>
        </w:rPr>
        <w:t>Implementado; pendiente confirmación por Jania</w:t>
      </w:r>
    </w:p>
    <w:p>
      <w:pPr>
        <w:pStyle w:val="Heading3"/>
        <w:keepNext/>
        <w:widowControl/>
      </w:pPr>
      <w:r>
        <w:rPr>
          <w:rFonts w:ascii="Arial" w:hAnsi="Arial" w:eastAsia="Arial" w:cs="Arial"/>
          <w:b/>
          <w:color w:val="000000"/>
          <w:sz w:val="24"/>
          <w:szCs w:val="24"/>
        </w:rPr>
        <w:t>O-02</w:t>
      </w:r>
    </w:p>
    <w:p>
      <w:pPr>
        <w:keepNext/>
      </w:pPr>
      <w:r>
        <w:rPr>
          <w:rFonts w:ascii="Arial" w:hAnsi="Arial" w:eastAsia="Arial" w:cs="Arial"/>
          <w:b/>
          <w:color w:val="000000"/>
          <w:sz w:val="24"/>
          <w:szCs w:val="24"/>
        </w:rPr>
        <w:t xml:space="preserve">Objeto: </w:t>
      </w:r>
      <w:r>
        <w:rPr>
          <w:rFonts w:ascii="Arial" w:hAnsi="Arial" w:eastAsia="Arial" w:cs="Arial"/>
          <w:color w:val="000000"/>
          <w:sz w:val="24"/>
          <w:szCs w:val="24"/>
        </w:rPr>
        <w:t>Prueba de acceso ajeno</w:t>
      </w:r>
    </w:p>
    <w:p>
      <w:pPr>
        <w:keepNext/>
      </w:pPr>
      <w:r>
        <w:rPr>
          <w:rFonts w:ascii="Arial" w:hAnsi="Arial" w:eastAsia="Arial" w:cs="Arial"/>
          <w:b/>
          <w:color w:val="000000"/>
          <w:sz w:val="24"/>
          <w:szCs w:val="24"/>
        </w:rPr>
        <w:t xml:space="preserve">Observación y severidad: </w:t>
      </w:r>
      <w:r>
        <w:rPr>
          <w:rFonts w:ascii="Arial" w:hAnsi="Arial" w:eastAsia="Arial" w:cs="Arial"/>
          <w:color w:val="000000"/>
          <w:sz w:val="24"/>
          <w:szCs w:val="24"/>
        </w:rPr>
        <w:t>El test ahora usa copia profunda, ausencia de campos protegidos y mensaje diagnóstico con recurso concreto. Media: evitar que un 403 con datos filtrados se considere suficiente</w:t>
      </w:r>
    </w:p>
    <w:p>
      <w:r>
        <w:rPr>
          <w:rFonts w:ascii="Arial" w:hAnsi="Arial" w:eastAsia="Arial" w:cs="Arial"/>
          <w:b/>
          <w:color w:val="000000"/>
          <w:sz w:val="24"/>
          <w:szCs w:val="24"/>
        </w:rPr>
        <w:t xml:space="preserve">Acción y estado: </w:t>
      </w:r>
      <w:r>
        <w:rPr>
          <w:rFonts w:ascii="Arial" w:hAnsi="Arial" w:eastAsia="Arial" w:cs="Arial"/>
          <w:color w:val="000000"/>
          <w:sz w:val="24"/>
          <w:szCs w:val="24"/>
        </w:rPr>
        <w:t>Implementado; pendiente confirmación por Jania</w:t>
      </w:r>
    </w:p>
    <w:p>
      <w:pPr>
        <w:pStyle w:val="Heading3"/>
        <w:keepNext/>
        <w:widowControl/>
      </w:pPr>
      <w:r>
        <w:rPr>
          <w:rFonts w:ascii="Arial" w:hAnsi="Arial" w:eastAsia="Arial" w:cs="Arial"/>
          <w:b/>
          <w:color w:val="000000"/>
          <w:sz w:val="24"/>
          <w:szCs w:val="24"/>
        </w:rPr>
        <w:t>O-03</w:t>
      </w:r>
    </w:p>
    <w:p>
      <w:pPr>
        <w:keepNext/>
      </w:pPr>
      <w:r>
        <w:rPr>
          <w:rFonts w:ascii="Arial" w:hAnsi="Arial" w:eastAsia="Arial" w:cs="Arial"/>
          <w:b/>
          <w:color w:val="000000"/>
          <w:sz w:val="24"/>
          <w:szCs w:val="24"/>
        </w:rPr>
        <w:t xml:space="preserve">Objeto: </w:t>
      </w:r>
      <w:r>
        <w:rPr>
          <w:rFonts w:ascii="Arial" w:hAnsi="Arial" w:eastAsia="Arial" w:cs="Arial"/>
          <w:color w:val="000000"/>
          <w:sz w:val="24"/>
          <w:szCs w:val="24"/>
        </w:rPr>
        <w:t>Política de lectura</w:t>
      </w:r>
    </w:p>
    <w:p>
      <w:pPr>
        <w:keepNext/>
      </w:pPr>
      <w:r>
        <w:rPr>
          <w:rFonts w:ascii="Arial" w:hAnsi="Arial" w:eastAsia="Arial" w:cs="Arial"/>
          <w:b/>
          <w:color w:val="000000"/>
          <w:sz w:val="24"/>
          <w:szCs w:val="24"/>
        </w:rPr>
        <w:t xml:space="preserve">Observación y severidad: </w:t>
      </w:r>
      <w:r>
        <w:rPr>
          <w:rFonts w:ascii="Arial" w:hAnsi="Arial" w:eastAsia="Arial" w:cs="Arial"/>
          <w:color w:val="000000"/>
          <w:sz w:val="24"/>
          <w:szCs w:val="24"/>
        </w:rPr>
        <w:t>El control inicial solo trataba estudiantes y permitía docentes de otra sede. Alta: lectura académica no autorizada</w:t>
      </w:r>
    </w:p>
    <w:p>
      <w:r>
        <w:rPr>
          <w:rFonts w:ascii="Arial" w:hAnsi="Arial" w:eastAsia="Arial" w:cs="Arial"/>
          <w:b/>
          <w:color w:val="000000"/>
          <w:sz w:val="24"/>
          <w:szCs w:val="24"/>
        </w:rPr>
        <w:t xml:space="preserve">Acción y estado: </w:t>
      </w:r>
      <w:r>
        <w:rPr>
          <w:rFonts w:ascii="Arial" w:hAnsi="Arial" w:eastAsia="Arial" w:cs="Arial"/>
          <w:color w:val="000000"/>
          <w:sz w:val="24"/>
          <w:szCs w:val="24"/>
        </w:rPr>
        <w:t>Corregido con política explícita; pendiente inspección por Jania</w:t>
      </w:r>
    </w:p>
    <w:p>
      <w:pPr>
        <w:pStyle w:val="Heading3"/>
        <w:widowControl/>
      </w:pPr>
      <w:r>
        <w:rPr>
          <w:rFonts w:ascii="Arial" w:hAnsi="Arial" w:eastAsia="Arial" w:cs="Arial"/>
          <w:b/>
          <w:color w:val="000000"/>
          <w:sz w:val="24"/>
          <w:szCs w:val="24"/>
        </w:rPr>
        <w:t>Revisión estática realizada</w:t>
      </w:r>
    </w:p>
    <w:p>
      <w:pPr>
        <w:widowControl/>
      </w:pPr>
      <w:r>
        <w:rPr>
          <w:rFonts w:ascii="Arial" w:hAnsi="Arial" w:eastAsia="Arial" w:cs="Arial"/>
          <w:b w:val="0"/>
          <w:color w:val="000000"/>
          <w:sz w:val="24"/>
          <w:szCs w:val="24"/>
        </w:rPr>
        <w:t>Se inspeccionaron permisos, validación, manejo de errores, exposición de datos y auditoría sin ejecutar el código. La lectura por rol/sede, la validación de notas y la auditoría de lectura están corregidas. Permanecen pendientes la sede en escritura, la validez de sesión y la auditoría de actualizaciones. Lista completa: evidencias/revision_estatica.md. Las solicitudes HTTP son pruebas dinámicas, no análisis estático.</w:t>
      </w:r>
    </w:p>
    <w:p>
      <w:pPr>
        <w:pStyle w:val="Heading2"/>
        <w:widowControl/>
      </w:pPr>
      <w:r>
        <w:rPr>
          <w:rFonts w:ascii="Arial" w:hAnsi="Arial" w:eastAsia="Arial" w:cs="Arial"/>
          <w:b/>
          <w:color w:val="000000"/>
          <w:sz w:val="24"/>
          <w:szCs w:val="24"/>
        </w:rPr>
        <w:t>5 2 Evaluación de usabilidad</w:t>
      </w:r>
    </w:p>
    <w:p>
      <w:pPr>
        <w:widowControl/>
      </w:pPr>
      <w:r>
        <w:rPr>
          <w:rFonts w:ascii="Arial" w:hAnsi="Arial" w:eastAsia="Arial" w:cs="Arial"/>
          <w:b w:val="0"/>
          <w:color w:val="000000"/>
          <w:sz w:val="24"/>
          <w:szCs w:val="24"/>
        </w:rPr>
        <w:t>El 403 actual, «Operación denegada», no revela titular, sede ni nota; es genérico y poco orientativo. El 401, «No autenticado», tampoco divulga datos, pero no indica cómo recuperar acceso y aún no se aplica a una sesión revocada. Jania debe revisar claridad y funcionamiento de ambos controles al completar su bloque.</w:t>
      </w:r>
    </w:p>
    <w:p>
      <w:pPr>
        <w:widowControl/>
      </w:pPr>
      <w:r>
        <w:rPr>
          <w:rFonts w:ascii="Arial" w:hAnsi="Arial" w:eastAsia="Arial" w:cs="Arial"/>
          <w:b w:val="0"/>
          <w:color w:val="000000"/>
          <w:sz w:val="24"/>
          <w:szCs w:val="24"/>
        </w:rPr>
        <w:t>Se ajustaron al menos dos pruebas: TC-01 incorpora ID, respuesta completa, invariancia y auditoría; TC-04 incorpora ID y requisito, campos protegidos, copia profunda y diagnóstico específico. Los ayudantes centralizan el oráculo y cada variante de TC-07 inicia un estado nuevo.</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04"/>
        <w:gridCol w:w="7056"/>
      </w:tblGrid>
      <w:tr>
        <w:trPr>
          <w:cantSplit/>
          <w:tblHeader/>
        </w:trPr>
        <w:tc>
          <w:tcPr>
            <w:tcW w:type="dxa" w:w="2304"/>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color w:val="000000"/>
                <w:sz w:val="24"/>
                <w:szCs w:val="24"/>
              </w:rPr>
              <w:t>Reproducibilidad</w:t>
            </w:r>
          </w:p>
        </w:tc>
        <w:tc>
          <w:tcPr>
            <w:tcW w:type="dxa" w:w="7056"/>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color w:val="000000"/>
                <w:sz w:val="24"/>
                <w:szCs w:val="24"/>
              </w:rPr>
              <w:t>Registro pendiente</w:t>
            </w:r>
          </w:p>
        </w:tc>
      </w:tr>
      <w:tr>
        <w:trPr>
          <w:cantSplit/>
        </w:trPr>
        <w:tc>
          <w:tcPr>
            <w:tcW w:type="dxa" w:w="2304"/>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Ejecutor</w:t>
            </w:r>
          </w:p>
        </w:tc>
        <w:tc>
          <w:tcPr>
            <w:tcW w:type="dxa" w:w="7056"/>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Jania u otra persona distinta del autor de la suite</w:t>
            </w:r>
          </w:p>
        </w:tc>
      </w:tr>
      <w:tr>
        <w:trPr>
          <w:cantSplit/>
        </w:trPr>
        <w:tc>
          <w:tcPr>
            <w:tcW w:type="dxa" w:w="2304"/>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Fecha y entorno</w:t>
            </w:r>
          </w:p>
        </w:tc>
        <w:tc>
          <w:tcPr>
            <w:tcW w:type="dxa" w:w="7056"/>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[Completar]</w:t>
            </w:r>
          </w:p>
        </w:tc>
      </w:tr>
      <w:tr>
        <w:trPr>
          <w:cantSplit/>
        </w:trPr>
        <w:tc>
          <w:tcPr>
            <w:tcW w:type="dxa" w:w="2304"/>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Procedimiento</w:t>
            </w:r>
          </w:p>
        </w:tc>
        <w:tc>
          <w:tcPr>
            <w:tcW w:type="dxa" w:w="7056"/>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Ejecutar usando únicamente README y restablecer datos</w:t>
            </w:r>
          </w:p>
        </w:tc>
      </w:tr>
      <w:tr>
        <w:trPr>
          <w:cantSplit/>
        </w:trPr>
        <w:tc>
          <w:tcPr>
            <w:tcW w:type="dxa" w:w="2304"/>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Resultado y dificultades</w:t>
            </w:r>
          </w:p>
        </w:tc>
        <w:tc>
          <w:tcPr>
            <w:tcW w:type="dxa" w:w="7056"/>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[Completar con lo observado]</w:t>
            </w:r>
          </w:p>
        </w:tc>
      </w:tr>
      <w:tr>
        <w:trPr>
          <w:cantSplit/>
        </w:trPr>
        <w:tc>
          <w:tcPr>
            <w:tcW w:type="dxa" w:w="2304"/>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Acción en README</w:t>
            </w:r>
          </w:p>
        </w:tc>
        <w:tc>
          <w:tcPr>
            <w:tcW w:type="dxa" w:w="7056"/>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[Completar con cambios y evidencia]</w:t>
            </w:r>
          </w:p>
        </w:tc>
      </w:tr>
    </w:tbl>
    <w:p>
      <w:pPr>
        <w:pStyle w:val="Heading2"/>
        <w:widowControl/>
      </w:pPr>
      <w:r>
        <w:rPr>
          <w:rFonts w:ascii="Arial" w:hAnsi="Arial" w:eastAsia="Arial" w:cs="Arial"/>
          <w:b/>
          <w:color w:val="000000"/>
          <w:sz w:val="24"/>
          <w:szCs w:val="24"/>
        </w:rPr>
        <w:t>5 3 Registro de hallazgos</w:t>
      </w:r>
    </w:p>
    <w:p>
      <w:pPr>
        <w:widowControl/>
      </w:pPr>
      <w:r>
        <w:rPr>
          <w:rFonts w:ascii="Arial" w:hAnsi="Arial" w:eastAsia="Arial" w:cs="Arial"/>
          <w:b w:val="0"/>
          <w:color w:val="000000"/>
          <w:sz w:val="24"/>
          <w:szCs w:val="24"/>
        </w:rPr>
        <w:t>El anexo hallazgos.csv contiene el detalle completo. H-01 y H-02 se detectaron sobre 3a27a6f; H-03 a H-05 sobre el corte W1, posterior a 9525e75 e identificado por hashes. Fecha de los hallazgos: 25/10/2026. Entorno: laboratorio local, Windows y Python 3.14.7. Los datos y tokens son ficticios.</w:t>
      </w:r>
    </w:p>
    <w:p>
      <w:pPr>
        <w:pStyle w:val="Heading3"/>
        <w:widowControl/>
      </w:pPr>
      <w:r>
        <w:rPr>
          <w:rFonts w:ascii="Arial" w:hAnsi="Arial" w:eastAsia="Arial" w:cs="Arial"/>
          <w:b/>
          <w:color w:val="000000"/>
          <w:sz w:val="24"/>
          <w:szCs w:val="24"/>
        </w:rPr>
        <w:t>H-01 Expediente academico ajeno</w:t>
      </w:r>
    </w:p>
    <w:p>
      <w:pPr>
        <w:widowControl/>
      </w:pPr>
      <w:r>
        <w:rPr>
          <w:rFonts w:ascii="Arial" w:hAnsi="Arial" w:eastAsia="Arial" w:cs="Arial"/>
          <w:b w:val="0"/>
          <w:color w:val="000000"/>
          <w:sz w:val="24"/>
          <w:szCs w:val="24"/>
        </w:rPr>
        <w:t>Requisito: SEC-01. Caso: TC-04. Responsable: Wilberth. Estado: corregido y verificado.</w:t>
      </w:r>
    </w:p>
    <w:p>
      <w:r>
        <w:rPr>
          <w:rFonts w:ascii="Arial" w:hAnsi="Arial" w:eastAsia="Arial" w:cs="Arial"/>
          <w:b/>
          <w:color w:val="000000"/>
          <w:sz w:val="24"/>
          <w:szCs w:val="24"/>
        </w:rPr>
        <w:t xml:space="preserve">Reproducción: </w:t>
      </w:r>
      <w:r>
        <w:rPr>
          <w:rFonts w:ascii="Arial" w:hAnsi="Arial" w:eastAsia="Arial" w:cs="Arial"/>
          <w:color w:val="000000"/>
          <w:sz w:val="24"/>
          <w:szCs w:val="24"/>
        </w:rPr>
        <w:t>Estado inicial; Ana con sesion valida; expediente 202 de Luis; Desde entrega/laboratorio_seguridad ejecutar python -m unittest discover -s tests -v; observar test_rojo_estudiante_no_consulta_expediente_ajeno</w:t>
      </w:r>
    </w:p>
    <w:p>
      <w:r>
        <w:rPr>
          <w:rFonts w:ascii="Arial" w:hAnsi="Arial" w:eastAsia="Arial" w:cs="Arial"/>
          <w:b/>
          <w:color w:val="000000"/>
          <w:sz w:val="24"/>
          <w:szCs w:val="24"/>
        </w:rPr>
        <w:t xml:space="preserve">Esperado y observado: </w:t>
      </w:r>
      <w:r>
        <w:rPr>
          <w:rFonts w:ascii="Arial" w:hAnsi="Arial" w:eastAsia="Arial" w:cs="Arial"/>
          <w:color w:val="000000"/>
          <w:sz w:val="24"/>
          <w:szCs w:val="24"/>
        </w:rPr>
        <w:t>403 al solicitar el expediente ajeno / 200; AssertionError: 403 != 200</w:t>
      </w:r>
    </w:p>
    <w:p>
      <w:r>
        <w:rPr>
          <w:rFonts w:ascii="Arial" w:hAnsi="Arial" w:eastAsia="Arial" w:cs="Arial"/>
          <w:b/>
          <w:color w:val="000000"/>
          <w:sz w:val="24"/>
          <w:szCs w:val="24"/>
        </w:rPr>
        <w:t xml:space="preserve">Impacto y severidad: </w:t>
      </w:r>
      <w:r>
        <w:rPr>
          <w:rFonts w:ascii="Arial" w:hAnsi="Arial" w:eastAsia="Arial" w:cs="Arial"/>
          <w:color w:val="000000"/>
          <w:sz w:val="24"/>
          <w:szCs w:val="24"/>
        </w:rPr>
        <w:t>Lectura no autorizada aceptada por el servicio; Alta: una estudiante obtiene respuesta de exito al consultar un expediente ajeno; el control de autorizacion no deniega la operacion</w:t>
      </w:r>
    </w:p>
    <w:p>
      <w:r>
        <w:rPr>
          <w:rFonts w:ascii="Arial" w:hAnsi="Arial" w:eastAsia="Arial" w:cs="Arial"/>
          <w:b/>
          <w:color w:val="000000"/>
          <w:sz w:val="24"/>
          <w:szCs w:val="24"/>
        </w:rPr>
        <w:t xml:space="preserve">Tratamiento y verificación: </w:t>
      </w:r>
      <w:r>
        <w:rPr>
          <w:rFonts w:ascii="Arial" w:hAnsi="Arial" w:eastAsia="Arial" w:cs="Arial"/>
          <w:color w:val="000000"/>
          <w:sz w:val="24"/>
          <w:szCs w:val="24"/>
        </w:rPr>
        <w:t>Condicion de autorizacion de estudiante incorporada en e4cc9fc y extraida a funcion interna durante refactor; comprobados 403, ausencia de campos protegidos e invariancia de expedientes en TC-04; TC-04 pasa en verde y refactor; regresion relacionada 3/3 OK; suite completa 3 aprobadas y 1 fallo conocido de H-02; ver evidencias/tdd1_registro.md</w:t>
      </w:r>
    </w:p>
    <w:p>
      <w:r>
        <w:rPr>
          <w:rFonts w:ascii="Arial" w:hAnsi="Arial" w:eastAsia="Arial" w:cs="Arial"/>
          <w:b/>
          <w:color w:val="000000"/>
          <w:sz w:val="24"/>
          <w:szCs w:val="24"/>
        </w:rPr>
        <w:t xml:space="preserve">Evidencia: </w:t>
      </w:r>
      <w:r>
        <w:rPr>
          <w:rFonts w:ascii="Arial" w:hAnsi="Arial" w:eastAsia="Arial" w:cs="Arial"/>
          <w:color w:val="000000"/>
          <w:sz w:val="24"/>
          <w:szCs w:val="24"/>
        </w:rPr>
        <w:t>evidencias/ejecucion_inicial.txt; evidencias/resumen_ejecucion_inicial.md; evidencias/tdd1_registro.md; evidencias/tdd1_rojo.txt; evidencias/tdd1_verde.txt; evidencias/tdd1_refactor.txt; evidencias/tdd1_suite_completa.txt; evidencias/wilberth_unidad_corrida1.txt</w:t>
      </w:r>
    </w:p>
    <w:p>
      <w:pPr>
        <w:pStyle w:val="Heading3"/>
        <w:widowControl/>
      </w:pPr>
      <w:r>
        <w:rPr>
          <w:rFonts w:ascii="Arial" w:hAnsi="Arial" w:eastAsia="Arial" w:cs="Arial"/>
          <w:b/>
          <w:color w:val="000000"/>
          <w:sz w:val="24"/>
          <w:szCs w:val="24"/>
        </w:rPr>
        <w:t>H-02 Sesiones y expedientes academicos</w:t>
      </w:r>
    </w:p>
    <w:p>
      <w:pPr>
        <w:widowControl/>
      </w:pPr>
      <w:r>
        <w:rPr>
          <w:rFonts w:ascii="Arial" w:hAnsi="Arial" w:eastAsia="Arial" w:cs="Arial"/>
          <w:b w:val="0"/>
          <w:color w:val="000000"/>
          <w:sz w:val="24"/>
          <w:szCs w:val="24"/>
        </w:rPr>
        <w:t>Requisito: SEC-03. Caso: TC-08. Responsable: Jania. Estado: abierto.</w:t>
      </w:r>
    </w:p>
    <w:p>
      <w:r>
        <w:rPr>
          <w:rFonts w:ascii="Arial" w:hAnsi="Arial" w:eastAsia="Arial" w:cs="Arial"/>
          <w:b/>
          <w:color w:val="000000"/>
          <w:sz w:val="24"/>
          <w:szCs w:val="24"/>
        </w:rPr>
        <w:t xml:space="preserve">Reproducción: </w:t>
      </w:r>
      <w:r>
        <w:rPr>
          <w:rFonts w:ascii="Arial" w:hAnsi="Arial" w:eastAsia="Arial" w:cs="Arial"/>
          <w:color w:val="000000"/>
          <w:sz w:val="24"/>
          <w:szCs w:val="24"/>
        </w:rPr>
        <w:t>Estado inicial; revocar lab-ana y consultar expediente 101; Desde entrega/laboratorio_seguridad ejecutar python -m unittest discover -s tests -v; observar test_rojo_sesion_revocada_no_permita_lecturas</w:t>
      </w:r>
    </w:p>
    <w:p>
      <w:r>
        <w:rPr>
          <w:rFonts w:ascii="Arial" w:hAnsi="Arial" w:eastAsia="Arial" w:cs="Arial"/>
          <w:b/>
          <w:color w:val="000000"/>
          <w:sz w:val="24"/>
          <w:szCs w:val="24"/>
        </w:rPr>
        <w:t xml:space="preserve">Esperado y observado: </w:t>
      </w:r>
      <w:r>
        <w:rPr>
          <w:rFonts w:ascii="Arial" w:hAnsi="Arial" w:eastAsia="Arial" w:cs="Arial"/>
          <w:color w:val="000000"/>
          <w:sz w:val="24"/>
          <w:szCs w:val="24"/>
        </w:rPr>
        <w:t>Revocacion 200 y lectura posterior 401 / Revocacion 200 y lectura posterior 200; AssertionError: 401 != 200</w:t>
      </w:r>
    </w:p>
    <w:p>
      <w:r>
        <w:rPr>
          <w:rFonts w:ascii="Arial" w:hAnsi="Arial" w:eastAsia="Arial" w:cs="Arial"/>
          <w:b/>
          <w:color w:val="000000"/>
          <w:sz w:val="24"/>
          <w:szCs w:val="24"/>
        </w:rPr>
        <w:t xml:space="preserve">Impacto y severidad: </w:t>
      </w:r>
      <w:r>
        <w:rPr>
          <w:rFonts w:ascii="Arial" w:hAnsi="Arial" w:eastAsia="Arial" w:cs="Arial"/>
          <w:color w:val="000000"/>
          <w:sz w:val="24"/>
          <w:szCs w:val="24"/>
        </w:rPr>
        <w:t>La revocacion no impide una lectura protegida posterior; Alta: una sesion revocada conserva acceso de lectura a recursos protegidos</w:t>
      </w:r>
    </w:p>
    <w:p>
      <w:r>
        <w:rPr>
          <w:rFonts w:ascii="Arial" w:hAnsi="Arial" w:eastAsia="Arial" w:cs="Arial"/>
          <w:b/>
          <w:color w:val="000000"/>
          <w:sz w:val="24"/>
          <w:szCs w:val="24"/>
        </w:rPr>
        <w:t xml:space="preserve">Tratamiento y verificación: </w:t>
      </w:r>
      <w:r>
        <w:rPr>
          <w:rFonts w:ascii="Arial" w:hAnsi="Arial" w:eastAsia="Arial" w:cs="Arial"/>
          <w:color w:val="000000"/>
          <w:sz w:val="24"/>
          <w:szCs w:val="24"/>
        </w:rPr>
        <w:t>Pendiente: Jania documentara su ciclo TDD y corregira la comprobacion de validez de sesion; cierre pendiente</w:t>
      </w:r>
    </w:p>
    <w:p>
      <w:r>
        <w:rPr>
          <w:rFonts w:ascii="Arial" w:hAnsi="Arial" w:eastAsia="Arial" w:cs="Arial"/>
          <w:b/>
          <w:color w:val="000000"/>
          <w:sz w:val="24"/>
          <w:szCs w:val="24"/>
        </w:rPr>
        <w:t xml:space="preserve">Evidencia: </w:t>
      </w:r>
      <w:r>
        <w:rPr>
          <w:rFonts w:ascii="Arial" w:hAnsi="Arial" w:eastAsia="Arial" w:cs="Arial"/>
          <w:color w:val="000000"/>
          <w:sz w:val="24"/>
          <w:szCs w:val="24"/>
        </w:rPr>
        <w:t>evidencias/ejecucion_inicial.txt; evidencias/resumen_ejecucion_inicial.md; evidencias/tdd1_suite_completa.txt; evidencias/suite_parcial_equipo.txt</w:t>
      </w:r>
    </w:p>
    <w:p>
      <w:pPr>
        <w:pStyle w:val="Heading3"/>
        <w:widowControl/>
      </w:pPr>
      <w:r>
        <w:rPr>
          <w:rFonts w:ascii="Arial" w:hAnsi="Arial" w:eastAsia="Arial" w:cs="Arial"/>
          <w:b/>
          <w:color w:val="000000"/>
          <w:sz w:val="24"/>
          <w:szCs w:val="24"/>
        </w:rPr>
        <w:t>H-03 Expedientes y permisos de lectura</w:t>
      </w:r>
    </w:p>
    <w:p>
      <w:pPr>
        <w:widowControl/>
      </w:pPr>
      <w:r>
        <w:rPr>
          <w:rFonts w:ascii="Arial" w:hAnsi="Arial" w:eastAsia="Arial" w:cs="Arial"/>
          <w:b w:val="0"/>
          <w:color w:val="000000"/>
          <w:sz w:val="24"/>
          <w:szCs w:val="24"/>
        </w:rPr>
        <w:t>Requisito: SEC-01;SEC-05. Caso: TC-05. Responsable: Wilberth. Estado: corregido y verificado.</w:t>
      </w:r>
    </w:p>
    <w:p>
      <w:r>
        <w:rPr>
          <w:rFonts w:ascii="Arial" w:hAnsi="Arial" w:eastAsia="Arial" w:cs="Arial"/>
          <w:b/>
          <w:color w:val="000000"/>
          <w:sz w:val="24"/>
          <w:szCs w:val="24"/>
        </w:rPr>
        <w:t xml:space="preserve">Reproducción: </w:t>
      </w:r>
      <w:r>
        <w:rPr>
          <w:rFonts w:ascii="Arial" w:hAnsi="Arial" w:eastAsia="Arial" w:cs="Arial"/>
          <w:color w:val="000000"/>
          <w:sz w:val="24"/>
          <w:szCs w:val="24"/>
        </w:rPr>
        <w:t>Maria Central solicita expediente 202 Pacifico; Iniciar servidor limpio; GET /expedientes/202 con Bearer lab-maria</w:t>
      </w:r>
    </w:p>
    <w:p>
      <w:r>
        <w:rPr>
          <w:rFonts w:ascii="Arial" w:hAnsi="Arial" w:eastAsia="Arial" w:cs="Arial"/>
          <w:b/>
          <w:color w:val="000000"/>
          <w:sz w:val="24"/>
          <w:szCs w:val="24"/>
        </w:rPr>
        <w:t xml:space="preserve">Esperado y observado: </w:t>
      </w:r>
      <w:r>
        <w:rPr>
          <w:rFonts w:ascii="Arial" w:hAnsi="Arial" w:eastAsia="Arial" w:cs="Arial"/>
          <w:color w:val="000000"/>
          <w:sz w:val="24"/>
          <w:szCs w:val="24"/>
        </w:rPr>
        <w:t>403 sin datos protegidos; estado intacto / Antes: 200 con expediente de Luis; despues: 403 sin campos protegidos; estado intacto</w:t>
      </w:r>
    </w:p>
    <w:p>
      <w:r>
        <w:rPr>
          <w:rFonts w:ascii="Arial" w:hAnsi="Arial" w:eastAsia="Arial" w:cs="Arial"/>
          <w:b/>
          <w:color w:val="000000"/>
          <w:sz w:val="24"/>
          <w:szCs w:val="24"/>
        </w:rPr>
        <w:t xml:space="preserve">Impacto y severidad: </w:t>
      </w:r>
      <w:r>
        <w:rPr>
          <w:rFonts w:ascii="Arial" w:hAnsi="Arial" w:eastAsia="Arial" w:cs="Arial"/>
          <w:color w:val="000000"/>
          <w:sz w:val="24"/>
          <w:szCs w:val="24"/>
        </w:rPr>
        <w:t>Docente accede a datos de otra sede; Alta: divulga informacion academica de otra sede</w:t>
      </w:r>
    </w:p>
    <w:p>
      <w:r>
        <w:rPr>
          <w:rFonts w:ascii="Arial" w:hAnsi="Arial" w:eastAsia="Arial" w:cs="Arial"/>
          <w:b/>
          <w:color w:val="000000"/>
          <w:sz w:val="24"/>
          <w:szCs w:val="24"/>
        </w:rPr>
        <w:t xml:space="preserve">Tratamiento y verificación: </w:t>
      </w:r>
      <w:r>
        <w:rPr>
          <w:rFonts w:ascii="Arial" w:hAnsi="Arial" w:eastAsia="Arial" w:cs="Arial"/>
          <w:color w:val="000000"/>
          <w:sz w:val="24"/>
          <w:szCs w:val="24"/>
        </w:rPr>
        <w:t>Politica _puede_leer exige sede del docente; solo administrador global; TC-05 por HTTP: 403 para Maria y 200 para Pedro; expedientes intactos</w:t>
      </w:r>
    </w:p>
    <w:p>
      <w:r>
        <w:rPr>
          <w:rFonts w:ascii="Arial" w:hAnsi="Arial" w:eastAsia="Arial" w:cs="Arial"/>
          <w:b/>
          <w:color w:val="000000"/>
          <w:sz w:val="24"/>
          <w:szCs w:val="24"/>
        </w:rPr>
        <w:t xml:space="preserve">Evidencia: </w:t>
      </w:r>
      <w:r>
        <w:rPr>
          <w:rFonts w:ascii="Arial" w:hAnsi="Arial" w:eastAsia="Arial" w:cs="Arial"/>
          <w:color w:val="000000"/>
          <w:sz w:val="24"/>
          <w:szCs w:val="24"/>
        </w:rPr>
        <w:t>evidencias/wilberth_api_antes.txt; evidencias/wilberth_api_despues.txt</w:t>
      </w:r>
    </w:p>
    <w:p>
      <w:pPr>
        <w:pStyle w:val="Heading3"/>
        <w:widowControl/>
      </w:pPr>
      <w:r>
        <w:rPr>
          <w:rFonts w:ascii="Arial" w:hAnsi="Arial" w:eastAsia="Arial" w:cs="Arial"/>
          <w:b/>
          <w:color w:val="000000"/>
          <w:sz w:val="24"/>
          <w:szCs w:val="24"/>
        </w:rPr>
        <w:t>H-04 Notas academicas</w:t>
      </w:r>
    </w:p>
    <w:p>
      <w:pPr>
        <w:widowControl/>
      </w:pPr>
      <w:r>
        <w:rPr>
          <w:rFonts w:ascii="Arial" w:hAnsi="Arial" w:eastAsia="Arial" w:cs="Arial"/>
          <w:b w:val="0"/>
          <w:color w:val="000000"/>
          <w:sz w:val="24"/>
          <w:szCs w:val="24"/>
        </w:rPr>
        <w:t>Requisito: SEC-04. Caso: TC-12. Responsable: Wilberth. Estado: corregido y verificado.</w:t>
      </w:r>
    </w:p>
    <w:p>
      <w:r>
        <w:rPr>
          <w:rFonts w:ascii="Arial" w:hAnsi="Arial" w:eastAsia="Arial" w:cs="Arial"/>
          <w:b/>
          <w:color w:val="000000"/>
          <w:sz w:val="24"/>
          <w:szCs w:val="24"/>
        </w:rPr>
        <w:t xml:space="preserve">Reproducción: </w:t>
      </w:r>
      <w:r>
        <w:rPr>
          <w:rFonts w:ascii="Arial" w:hAnsi="Arial" w:eastAsia="Arial" w:cs="Arial"/>
          <w:color w:val="000000"/>
          <w:sz w:val="24"/>
          <w:szCs w:val="24"/>
        </w:rPr>
        <w:t>Docente autorizado envia -1,101,true o entero muy grande; Servidor limpio por variante; POST /expedientes/101/nota con lab-maria; comparar ambos expedientes por GET admin</w:t>
      </w:r>
    </w:p>
    <w:p>
      <w:r>
        <w:rPr>
          <w:rFonts w:ascii="Arial" w:hAnsi="Arial" w:eastAsia="Arial" w:cs="Arial"/>
          <w:b/>
          <w:color w:val="000000"/>
          <w:sz w:val="24"/>
          <w:szCs w:val="24"/>
        </w:rPr>
        <w:t xml:space="preserve">Esperado y observado: </w:t>
      </w:r>
      <w:r>
        <w:rPr>
          <w:rFonts w:ascii="Arial" w:hAnsi="Arial" w:eastAsia="Arial" w:cs="Arial"/>
          <w:color w:val="000000"/>
          <w:sz w:val="24"/>
          <w:szCs w:val="24"/>
        </w:rPr>
        <w:t>400; expedientes intactos / Antes: cuatro variantes 200 con persistencia; texto 400; despues: todas 400 sin cambios</w:t>
      </w:r>
    </w:p>
    <w:p>
      <w:r>
        <w:rPr>
          <w:rFonts w:ascii="Arial" w:hAnsi="Arial" w:eastAsia="Arial" w:cs="Arial"/>
          <w:b/>
          <w:color w:val="000000"/>
          <w:sz w:val="24"/>
          <w:szCs w:val="24"/>
        </w:rPr>
        <w:t xml:space="preserve">Impacto y severidad: </w:t>
      </w:r>
      <w:r>
        <w:rPr>
          <w:rFonts w:ascii="Arial" w:hAnsi="Arial" w:eastAsia="Arial" w:cs="Arial"/>
          <w:color w:val="000000"/>
          <w:sz w:val="24"/>
          <w:szCs w:val="24"/>
        </w:rPr>
        <w:t>Persistencia de calificaciones invalidas; Alta: altera la integridad de notas por ausencia de rango y aceptacion de bool</w:t>
      </w:r>
    </w:p>
    <w:p>
      <w:r>
        <w:rPr>
          <w:rFonts w:ascii="Arial" w:hAnsi="Arial" w:eastAsia="Arial" w:cs="Arial"/>
          <w:b/>
          <w:color w:val="000000"/>
          <w:sz w:val="24"/>
          <w:szCs w:val="24"/>
        </w:rPr>
        <w:t xml:space="preserve">Tratamiento y verificación: </w:t>
      </w:r>
      <w:r>
        <w:rPr>
          <w:rFonts w:ascii="Arial" w:hAnsi="Arial" w:eastAsia="Arial" w:cs="Arial"/>
          <w:color w:val="000000"/>
          <w:sz w:val="24"/>
          <w:szCs w:val="24"/>
        </w:rPr>
        <w:t>_nota_valida comprueba tipo sin bool y rango inclusivo sin conversion a float; TC-12: cinco variantes rechazadas; ambos expedientes intactos</w:t>
      </w:r>
    </w:p>
    <w:p>
      <w:r>
        <w:rPr>
          <w:rFonts w:ascii="Arial" w:hAnsi="Arial" w:eastAsia="Arial" w:cs="Arial"/>
          <w:b/>
          <w:color w:val="000000"/>
          <w:sz w:val="24"/>
          <w:szCs w:val="24"/>
        </w:rPr>
        <w:t xml:space="preserve">Evidencia: </w:t>
      </w:r>
      <w:r>
        <w:rPr>
          <w:rFonts w:ascii="Arial" w:hAnsi="Arial" w:eastAsia="Arial" w:cs="Arial"/>
          <w:color w:val="000000"/>
          <w:sz w:val="24"/>
          <w:szCs w:val="24"/>
        </w:rPr>
        <w:t>evidencias/wilberth_api_antes.txt; evidencias/wilberth_api_despues.txt</w:t>
      </w:r>
    </w:p>
    <w:p>
      <w:pPr>
        <w:pStyle w:val="Heading3"/>
        <w:widowControl/>
      </w:pPr>
      <w:r>
        <w:rPr>
          <w:rFonts w:ascii="Arial" w:hAnsi="Arial" w:eastAsia="Arial" w:cs="Arial"/>
          <w:b/>
          <w:color w:val="000000"/>
          <w:sz w:val="24"/>
          <w:szCs w:val="24"/>
        </w:rPr>
        <w:t>H-05 Auditoria y sesiones</w:t>
      </w:r>
    </w:p>
    <w:p>
      <w:pPr>
        <w:widowControl/>
      </w:pPr>
      <w:r>
        <w:rPr>
          <w:rFonts w:ascii="Arial" w:hAnsi="Arial" w:eastAsia="Arial" w:cs="Arial"/>
          <w:b w:val="0"/>
          <w:color w:val="000000"/>
          <w:sz w:val="24"/>
          <w:szCs w:val="24"/>
        </w:rPr>
        <w:t>Requisito: SEC-06. Caso: TC-01;TC-02;TC-03. Responsable: Jania (pendiente escritura); Wilberth (lectura corregida). Estado: abierto.</w:t>
      </w:r>
    </w:p>
    <w:p>
      <w:r>
        <w:rPr>
          <w:rFonts w:ascii="Arial" w:hAnsi="Arial" w:eastAsia="Arial" w:cs="Arial"/>
          <w:b/>
          <w:color w:val="000000"/>
          <w:sz w:val="24"/>
          <w:szCs w:val="24"/>
        </w:rPr>
        <w:t xml:space="preserve">Reproducción: </w:t>
      </w:r>
      <w:r>
        <w:rPr>
          <w:rFonts w:ascii="Arial" w:hAnsi="Arial" w:eastAsia="Arial" w:cs="Arial"/>
          <w:color w:val="000000"/>
          <w:sz w:val="24"/>
          <w:szCs w:val="24"/>
        </w:rPr>
        <w:t>Lectura o actualizacion permitida en codigo base; Inspeccionar los append de auditoria en src/lab.py; ejecutar TC-01 y TC-03</w:t>
      </w:r>
    </w:p>
    <w:p>
      <w:r>
        <w:rPr>
          <w:rFonts w:ascii="Arial" w:hAnsi="Arial" w:eastAsia="Arial" w:cs="Arial"/>
          <w:b/>
          <w:color w:val="000000"/>
          <w:sz w:val="24"/>
          <w:szCs w:val="24"/>
        </w:rPr>
        <w:t xml:space="preserve">Esperado y observado: </w:t>
      </w:r>
      <w:r>
        <w:rPr>
          <w:rFonts w:ascii="Arial" w:hAnsi="Arial" w:eastAsia="Arial" w:cs="Arial"/>
          <w:color w:val="000000"/>
          <w:sz w:val="24"/>
          <w:szCs w:val="24"/>
        </w:rPr>
        <w:t>Eventos con usuario/accion/id y sin token en lectura y escritura / Antes: eventos con token y sin usuario; tests de lectura fallan; despues: lectura corregida, actualizaciones aun guardan token</w:t>
      </w:r>
    </w:p>
    <w:p>
      <w:r>
        <w:rPr>
          <w:rFonts w:ascii="Arial" w:hAnsi="Arial" w:eastAsia="Arial" w:cs="Arial"/>
          <w:b/>
          <w:color w:val="000000"/>
          <w:sz w:val="24"/>
          <w:szCs w:val="24"/>
        </w:rPr>
        <w:t xml:space="preserve">Impacto y severidad: </w:t>
      </w:r>
      <w:r>
        <w:rPr>
          <w:rFonts w:ascii="Arial" w:hAnsi="Arial" w:eastAsia="Arial" w:cs="Arial"/>
          <w:color w:val="000000"/>
          <w:sz w:val="24"/>
          <w:szCs w:val="24"/>
        </w:rPr>
        <w:t>Tokens almacenados y ausencia de identidad explicita en registros; Alta: una bitacora con tokens puede facilitar reutilizacion de sesiones y no identifica el actor explicitamente</w:t>
      </w:r>
    </w:p>
    <w:p>
      <w:r>
        <w:rPr>
          <w:rFonts w:ascii="Arial" w:hAnsi="Arial" w:eastAsia="Arial" w:cs="Arial"/>
          <w:b/>
          <w:color w:val="000000"/>
          <w:sz w:val="24"/>
          <w:szCs w:val="24"/>
        </w:rPr>
        <w:t xml:space="preserve">Tratamiento y verificación: </w:t>
      </w:r>
      <w:r>
        <w:rPr>
          <w:rFonts w:ascii="Arial" w:hAnsi="Arial" w:eastAsia="Arial" w:cs="Arial"/>
          <w:color w:val="000000"/>
          <w:sz w:val="24"/>
          <w:szCs w:val="24"/>
        </w:rPr>
        <w:t>Lectura corregida; Jania debe corregir auditoria de actualizaciones y verificar TC-02/10/11; Lectura verificada TC-01 y TC-03; cierre global pendiente escritura</w:t>
      </w:r>
    </w:p>
    <w:p>
      <w:r>
        <w:rPr>
          <w:rFonts w:ascii="Arial" w:hAnsi="Arial" w:eastAsia="Arial" w:cs="Arial"/>
          <w:b/>
          <w:color w:val="000000"/>
          <w:sz w:val="24"/>
          <w:szCs w:val="24"/>
        </w:rPr>
        <w:t xml:space="preserve">Evidencia: </w:t>
      </w:r>
      <w:r>
        <w:rPr>
          <w:rFonts w:ascii="Arial" w:hAnsi="Arial" w:eastAsia="Arial" w:cs="Arial"/>
          <w:color w:val="000000"/>
          <w:sz w:val="24"/>
          <w:szCs w:val="24"/>
        </w:rPr>
        <w:t>evidencias/wilberth_unidad_antes.txt; evidencias/wilberth_unidad_corrida1.txt; evidencias/revision_estatica.md; evidencias/wilberth_cambios.patch</w:t>
      </w:r>
    </w:p>
    <w:p>
      <w:pPr>
        <w:widowControl/>
      </w:pPr>
      <w:r>
        <w:rPr>
          <w:rFonts w:ascii="Arial" w:hAnsi="Arial" w:eastAsia="Arial" w:cs="Arial"/>
          <w:b w:val="0"/>
          <w:color w:val="000000"/>
          <w:sz w:val="24"/>
          <w:szCs w:val="24"/>
        </w:rPr>
        <w:t>No se registraron alertas que deban clasificarse como falso positivo en este corte. El encabezado NativeCommandError de las capturas iniciales es ruido de PowerShell al redirigir stderr, no un defecto adicional del sistema. Los fallos del producto se identifican por sus aserciones.</w:t>
      </w:r>
    </w:p>
    <w:p>
      <w:pPr>
        <w:pStyle w:val="Heading2"/>
        <w:widowControl/>
      </w:pPr>
      <w:r>
        <w:rPr>
          <w:rFonts w:ascii="Arial" w:hAnsi="Arial" w:eastAsia="Arial" w:cs="Arial"/>
          <w:b/>
          <w:color w:val="000000"/>
          <w:sz w:val="24"/>
          <w:szCs w:val="24"/>
        </w:rPr>
        <w:t>5 4 Conclusiones</w:t>
      </w:r>
    </w:p>
    <w:p>
      <w:pPr>
        <w:widowControl/>
      </w:pPr>
      <w:r>
        <w:rPr>
          <w:rFonts w:ascii="Arial" w:hAnsi="Arial" w:eastAsia="Arial" w:cs="Arial"/>
          <w:b w:val="0"/>
          <w:color w:val="000000"/>
          <w:sz w:val="24"/>
          <w:szCs w:val="24"/>
        </w:rPr>
        <w:t>Las evidencias de Wilberth demuestran denegación de lecturas ajenas o entre sedes, rechazo de las entradas inválidas probadas sin persistencia y auditoría de lecturas sin tokens. Su ciclo TDD conserva rojo, verde y refactor con regresión. El sistema completo aún no debe liberarse porque persiste el defecto de sesión y faltan los controles y pruebas de Jania.</w:t>
      </w:r>
    </w:p>
    <w:p>
      <w:pPr>
        <w:pStyle w:val="Heading1"/>
        <w:pageBreakBefore/>
        <w:widowControl/>
      </w:pPr>
      <w:bookmarkStart w:id="6" w:name="informe_seccion_6"/>
      <w:r>
        <w:rPr>
          <w:rFonts w:ascii="Arial" w:hAnsi="Arial" w:eastAsia="Arial" w:cs="Arial"/>
          <w:b/>
          <w:color w:val="000000"/>
          <w:sz w:val="24"/>
          <w:szCs w:val="24"/>
        </w:rPr>
        <w:t>6 Indicadores calculados decisión de liberación y limitaciones del estudio</w:t>
      </w:r>
      <w:bookmarkEnd w:id="6"/>
    </w:p>
    <w:p>
      <w:pPr>
        <w:pStyle w:val="Heading2"/>
        <w:widowControl/>
      </w:pPr>
      <w:r>
        <w:rPr>
          <w:rFonts w:ascii="Arial" w:hAnsi="Arial" w:eastAsia="Arial" w:cs="Arial"/>
          <w:b/>
          <w:color w:val="000000"/>
          <w:sz w:val="24"/>
          <w:szCs w:val="24"/>
        </w:rPr>
        <w:t>6 1 Indicadores calculados</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5760"/>
        <w:gridCol w:w="3600"/>
      </w:tblGrid>
      <w:tr>
        <w:trPr>
          <w:cantSplit/>
          <w:tblHeader/>
        </w:trPr>
        <w:tc>
          <w:tcPr>
            <w:tcW w:type="dxa" w:w="5760"/>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color w:val="000000"/>
                <w:sz w:val="24"/>
                <w:szCs w:val="24"/>
              </w:rPr>
              <w:t>Estado</w:t>
            </w:r>
          </w:p>
        </w:tc>
        <w:tc>
          <w:tcPr>
            <w:tcW w:type="dxa" w:w="3600"/>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color w:val="000000"/>
                <w:sz w:val="24"/>
                <w:szCs w:val="24"/>
              </w:rPr>
              <w:t>Casos</w:t>
            </w:r>
          </w:p>
        </w:tc>
      </w:tr>
      <w:tr>
        <w:trPr>
          <w:cantSplit/>
        </w:trPr>
        <w:tc>
          <w:tcPr>
            <w:tcW w:type="dxa" w:w="5760"/>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Aprobado</w:t>
            </w:r>
          </w:p>
        </w:tc>
        <w:tc>
          <w:tcPr>
            <w:tcW w:type="dxa" w:w="3600"/>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6</w:t>
            </w:r>
          </w:p>
        </w:tc>
      </w:tr>
      <w:tr>
        <w:trPr>
          <w:cantSplit/>
        </w:trPr>
        <w:tc>
          <w:tcPr>
            <w:tcW w:type="dxa" w:w="5760"/>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Fallido</w:t>
            </w:r>
          </w:p>
        </w:tc>
        <w:tc>
          <w:tcPr>
            <w:tcW w:type="dxa" w:w="3600"/>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1</w:t>
            </w:r>
          </w:p>
        </w:tc>
      </w:tr>
      <w:tr>
        <w:trPr>
          <w:cantSplit/>
        </w:trPr>
        <w:tc>
          <w:tcPr>
            <w:tcW w:type="dxa" w:w="5760"/>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Bloqueado</w:t>
            </w:r>
          </w:p>
        </w:tc>
        <w:tc>
          <w:tcPr>
            <w:tcW w:type="dxa" w:w="3600"/>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0</w:t>
            </w:r>
          </w:p>
        </w:tc>
      </w:tr>
      <w:tr>
        <w:trPr>
          <w:cantSplit/>
        </w:trPr>
        <w:tc>
          <w:tcPr>
            <w:tcW w:type="dxa" w:w="5760"/>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No ejecutado</w:t>
            </w:r>
          </w:p>
        </w:tc>
        <w:tc>
          <w:tcPr>
            <w:tcW w:type="dxa" w:w="3600"/>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5</w:t>
            </w:r>
          </w:p>
        </w:tc>
      </w:tr>
      <w:tr>
        <w:trPr>
          <w:cantSplit/>
        </w:trPr>
        <w:tc>
          <w:tcPr>
            <w:tcW w:type="dxa" w:w="5760"/>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Planificados</w:t>
            </w:r>
          </w:p>
        </w:tc>
        <w:tc>
          <w:tcPr>
            <w:tcW w:type="dxa" w:w="3600"/>
            <w:vAlign w:val="center"/>
            <w:shd w:val="clear" w:fill="FFFFFF"/>
            <w:tcMar>
              <w:top w:w="75" w:type="dxa"/>
              <w:bottom w:w="75" w:type="dxa"/>
              <w:left w:w="75" w:type="dxa"/>
              <w:right w:w="75" w:type="dxa"/>
            </w:tcMar>
          </w:tcPr>
          <w:p>
            <w:pPr>
              <w:keepNext w:val="0"/>
              <w:spacing w:before="0" w:after="60" w:line="240" w:lineRule="auto"/>
            </w:pPr>
            <w:r>
              <w:rPr>
                <w:rFonts w:ascii="Arial" w:hAnsi="Arial" w:eastAsia="Arial" w:cs="Arial"/>
                <w:b w:val="0"/>
                <w:color w:val="000000"/>
                <w:sz w:val="24"/>
                <w:szCs w:val="24"/>
              </w:rPr>
              <w:t>12</w:t>
            </w:r>
          </w:p>
        </w:tc>
      </w:tr>
    </w:tbl>
    <w:p>
      <w:r>
        <w:rPr>
          <w:rFonts w:ascii="Arial" w:hAnsi="Arial" w:eastAsia="Arial" w:cs="Arial"/>
          <w:b/>
          <w:color w:val="000000"/>
          <w:sz w:val="24"/>
          <w:szCs w:val="24"/>
        </w:rPr>
        <w:t xml:space="preserve">Tasa de aprobación: </w:t>
      </w:r>
      <w:r>
        <w:rPr>
          <w:rFonts w:ascii="Arial" w:hAnsi="Arial" w:eastAsia="Arial" w:cs="Arial"/>
          <w:color w:val="000000"/>
          <w:sz w:val="24"/>
          <w:szCs w:val="24"/>
        </w:rPr>
        <w:t>6 / (6 + 1) × 100 = 85.71 %</w:t>
      </w:r>
    </w:p>
    <w:p>
      <w:r>
        <w:rPr>
          <w:rFonts w:ascii="Arial" w:hAnsi="Arial" w:eastAsia="Arial" w:cs="Arial"/>
          <w:b/>
          <w:color w:val="000000"/>
          <w:sz w:val="24"/>
          <w:szCs w:val="24"/>
        </w:rPr>
        <w:t xml:space="preserve">Avance: </w:t>
      </w:r>
      <w:r>
        <w:rPr>
          <w:rFonts w:ascii="Arial" w:hAnsi="Arial" w:eastAsia="Arial" w:cs="Arial"/>
          <w:color w:val="000000"/>
          <w:sz w:val="24"/>
          <w:szCs w:val="24"/>
        </w:rPr>
        <w:t>(6 + 1) / 12 × 100 = 58.33 %</w:t>
      </w:r>
    </w:p>
    <w:p>
      <w:r>
        <w:rPr>
          <w:rFonts w:ascii="Arial" w:hAnsi="Arial" w:eastAsia="Arial" w:cs="Arial"/>
          <w:b/>
          <w:color w:val="000000"/>
          <w:sz w:val="24"/>
          <w:szCs w:val="24"/>
        </w:rPr>
        <w:t xml:space="preserve">Cobertura de requisitos: </w:t>
      </w:r>
      <w:r>
        <w:rPr>
          <w:rFonts w:ascii="Arial" w:hAnsi="Arial" w:eastAsia="Arial" w:cs="Arial"/>
          <w:color w:val="000000"/>
          <w:sz w:val="24"/>
          <w:szCs w:val="24"/>
        </w:rPr>
        <w:t>6 / 6 × 100 = 100 %, según al menos una prueba válida vinculada por requisito</w:t>
      </w:r>
    </w:p>
    <w:p>
      <w:pPr>
        <w:widowControl/>
      </w:pPr>
      <w:r>
        <w:rPr>
          <w:rFonts w:ascii="Arial" w:hAnsi="Arial" w:eastAsia="Arial" w:cs="Arial"/>
          <w:b w:val="0"/>
          <w:color w:val="000000"/>
          <w:sz w:val="24"/>
          <w:szCs w:val="24"/>
        </w:rPr>
        <w:t>Una prueba válida puede fallar y detectar un defecto: SEC-03 cuenta la revocación fallida. SEC-06 cuenta las pruebas de auditoría de lectura, aunque escritura aún está pendiente. La cobertura no significa aprobación de todos los controles ni de todas las variantes. Las métricas se calculan sobre casos, no sobre métodos o solicitudes.</w:t>
      </w:r>
    </w:p>
    <w:p>
      <w:pPr>
        <w:widowControl/>
      </w:pPr>
      <w:r>
        <w:rPr>
          <w:rFonts w:ascii="Arial" w:hAnsi="Arial" w:eastAsia="Arial" w:cs="Arial"/>
          <w:b w:val="0"/>
          <w:color w:val="000000"/>
          <w:sz w:val="24"/>
          <w:szCs w:val="24"/>
        </w:rPr>
        <w:t>Aprobados: TC-01, TC-03, TC-04, TC-05, TC-07 y TC-12. Fallido: TC-08. No ejecutados por completo: TC-02, TC-06, TC-09, TC-10 y TC-11. El ejemplo de TC-02 aprueba, pero todavía no comprueba todos sus oráculos. Las cifras finales se recalcularán después de Jania.</w:t>
      </w:r>
    </w:p>
    <w:p>
      <w:pPr>
        <w:pStyle w:val="Heading2"/>
        <w:widowControl/>
      </w:pPr>
      <w:r>
        <w:rPr>
          <w:rFonts w:ascii="Arial" w:hAnsi="Arial" w:eastAsia="Arial" w:cs="Arial"/>
          <w:b/>
          <w:color w:val="000000"/>
          <w:sz w:val="24"/>
          <w:szCs w:val="24"/>
        </w:rPr>
        <w:t>6 2 Decisión de liberación</w:t>
      </w:r>
    </w:p>
    <w:p>
      <w:pPr>
        <w:widowControl/>
      </w:pPr>
      <w:r>
        <w:rPr>
          <w:rFonts w:ascii="Arial" w:hAnsi="Arial" w:eastAsia="Arial" w:cs="Arial"/>
          <w:b w:val="0"/>
          <w:color w:val="000000"/>
          <w:sz w:val="24"/>
          <w:szCs w:val="24"/>
        </w:rPr>
        <w:t>Dictamen provisional: NO LIBERAR. H-02 sigue abierto por sesión revocada; H-05 por auditoría de actualizaciones. La autorización de escritura entre sedes todavía debe implementarse y probarse. Una tasa alta de aprobación no compensa un fallo de sesión o autorización.</w:t>
      </w:r>
    </w:p>
    <w:p>
      <w:r>
        <w:rPr>
          <w:rFonts w:ascii="Arial" w:hAnsi="Arial" w:eastAsia="Arial" w:cs="Arial"/>
          <w:b/>
          <w:color w:val="000000"/>
          <w:sz w:val="24"/>
          <w:szCs w:val="24"/>
        </w:rPr>
        <w:t xml:space="preserve">Responsable de la decisión hipotética: </w:t>
      </w:r>
      <w:r>
        <w:rPr>
          <w:rFonts w:ascii="Arial" w:hAnsi="Arial" w:eastAsia="Arial" w:cs="Arial"/>
          <w:color w:val="000000"/>
          <w:sz w:val="24"/>
          <w:szCs w:val="24"/>
        </w:rPr>
        <w:t>[Designar por el equipo]</w:t>
      </w:r>
    </w:p>
    <w:p>
      <w:r>
        <w:rPr>
          <w:rFonts w:ascii="Arial" w:hAnsi="Arial" w:eastAsia="Arial" w:cs="Arial"/>
          <w:b/>
          <w:color w:val="000000"/>
          <w:sz w:val="24"/>
          <w:szCs w:val="24"/>
        </w:rPr>
        <w:t xml:space="preserve">Fecha de aprobación del dictamen final: </w:t>
      </w:r>
      <w:r>
        <w:rPr>
          <w:rFonts w:ascii="Arial" w:hAnsi="Arial" w:eastAsia="Arial" w:cs="Arial"/>
          <w:color w:val="000000"/>
          <w:sz w:val="24"/>
          <w:szCs w:val="24"/>
        </w:rPr>
        <w:t>[Completar]</w:t>
      </w:r>
    </w:p>
    <w:p>
      <w:pPr>
        <w:pStyle w:val="Heading2"/>
        <w:widowControl/>
      </w:pPr>
      <w:r>
        <w:rPr>
          <w:rFonts w:ascii="Arial" w:hAnsi="Arial" w:eastAsia="Arial" w:cs="Arial"/>
          <w:b/>
          <w:color w:val="000000"/>
          <w:sz w:val="24"/>
          <w:szCs w:val="24"/>
        </w:rPr>
        <w:t>6 3 Limitaciones y riesgo residual</w:t>
      </w:r>
    </w:p>
    <w:p>
      <w:pPr>
        <w:widowControl/>
      </w:pPr>
      <w:r>
        <w:rPr>
          <w:rFonts w:ascii="Arial" w:hAnsi="Arial" w:eastAsia="Arial" w:cs="Arial"/>
          <w:b w:val="0"/>
          <w:color w:val="000000"/>
          <w:sz w:val="24"/>
          <w:szCs w:val="24"/>
        </w:rPr>
        <w:t>Se trabaja con dos expedientes y cinco usuarios ficticios, datos en memoria y sesiones simuladas sin tiempo real. No se probaron carga ni concurrencia. Permanecen pendientes integración, segundo TDD, inspección cruzada y reproducción usando solo README. El mecanismo de tokens es didáctico y no acredita seguridad de producción.</w:t>
      </w:r>
    </w:p>
    <w:p>
      <w:pPr>
        <w:widowControl/>
      </w:pPr>
      <w:r>
        <w:rPr>
          <w:rFonts w:ascii="Arial" w:hAnsi="Arial" w:eastAsia="Arial" w:cs="Arial"/>
          <w:b w:val="0"/>
          <w:color w:val="000000"/>
          <w:sz w:val="24"/>
          <w:szCs w:val="24"/>
        </w:rPr>
        <w:t>Los defectos abiertos deben tratarse; no se aceptan como riesgo residual por omisión. La aceptación formal del riesgo residual al cierre, con responsable, sigue pendiente. El uso exclusivo local y los datos ficticios limitan el alcance del dictamen.</w:t>
      </w:r>
    </w:p>
    <w:p>
      <w:pPr>
        <w:pStyle w:val="Heading2"/>
        <w:widowControl/>
      </w:pPr>
      <w:r>
        <w:rPr>
          <w:rFonts w:ascii="Arial" w:hAnsi="Arial" w:eastAsia="Arial" w:cs="Arial"/>
          <w:b/>
          <w:color w:val="000000"/>
          <w:sz w:val="24"/>
          <w:szCs w:val="24"/>
        </w:rPr>
        <w:t>6 4 Código fuente y resultados reproducibles</w:t>
      </w:r>
    </w:p>
    <w:p>
      <w:pPr>
        <w:widowControl/>
      </w:pPr>
      <w:r>
        <w:rPr>
          <w:rFonts w:ascii="Arial" w:hAnsi="Arial" w:eastAsia="Arial" w:cs="Arial"/>
          <w:b w:val="0"/>
          <w:color w:val="000000"/>
          <w:sz w:val="24"/>
          <w:szCs w:val="24"/>
        </w:rPr>
        <w:t>Repositorio: https://github.com/WGuillenDev/laboratorio-pruebas-seguridad. El README documenta entorno, instalación, comandos y reinicio de datos. Los anexos matriz_trazabilidad.csv y hallazgos.csv mantienen los mismos IDs del informe. Evidencias antes/después y TDD están en entrega/evidencias. El ZIP equivalente y el PDF final se generarán al completar y revisar ambos bloques.</w:t>
      </w:r>
    </w:p>
    <w:p>
      <w:r>
        <w:rPr>
          <w:rFonts w:ascii="Arial" w:hAnsi="Arial" w:eastAsia="Arial" w:cs="Arial"/>
          <w:b/>
          <w:color w:val="000000"/>
          <w:sz w:val="24"/>
          <w:szCs w:val="24"/>
        </w:rPr>
        <w:t xml:space="preserve">Aporte de Wilberth: </w:t>
      </w:r>
      <w:r>
        <w:rPr>
          <w:rFonts w:ascii="Arial" w:hAnsi="Arial" w:eastAsia="Arial" w:cs="Arial"/>
          <w:color w:val="000000"/>
          <w:sz w:val="24"/>
          <w:szCs w:val="24"/>
        </w:rPr>
        <w:t>Primer TDD manual y commits 4cf28d2, e4cc9fc y 9525e75; continuación asistida autorizada y verificación propia de pruebas y HTTP</w:t>
      </w:r>
    </w:p>
    <w:p>
      <w:r>
        <w:rPr>
          <w:rFonts w:ascii="Arial" w:hAnsi="Arial" w:eastAsia="Arial" w:cs="Arial"/>
          <w:b/>
          <w:color w:val="000000"/>
          <w:sz w:val="24"/>
          <w:szCs w:val="24"/>
        </w:rPr>
        <w:t xml:space="preserve">Aporte pendiente de Jania: </w:t>
      </w:r>
      <w:r>
        <w:rPr>
          <w:rFonts w:ascii="Arial" w:hAnsi="Arial" w:eastAsia="Arial" w:cs="Arial"/>
          <w:color w:val="000000"/>
          <w:sz w:val="24"/>
          <w:szCs w:val="24"/>
        </w:rPr>
        <w:t>Casos TC-02, TC-06, TC-08, TC-09, TC-10 y TC-11; segundo TDD, sesiones, escritura, auditoría e integración HTTP</w:t>
      </w:r>
    </w:p>
    <w:p>
      <w:pPr>
        <w:widowControl/>
      </w:pPr>
      <w:r>
        <w:rPr>
          <w:rFonts w:ascii="Arial" w:hAnsi="Arial" w:eastAsia="Arial" w:cs="Arial"/>
          <w:b w:val="0"/>
          <w:color w:val="000000"/>
          <w:sz w:val="24"/>
          <w:szCs w:val="24"/>
        </w:rPr>
        <w:t>Cada integrante debe realizar al menos dos commits significativos en dos días distintos. Los commits actuales de Wilberth son del 25/10/2026; queda pendiente otro aporte real en una fecha diferente.</w:t>
      </w:r>
    </w:p>
    <w:p>
      <w:pPr>
        <w:widowControl/>
      </w:pPr>
      <w:r>
        <w:rPr>
          <w:rFonts w:ascii="Arial" w:hAnsi="Arial" w:eastAsia="Arial" w:cs="Arial"/>
          <w:b w:val="0"/>
          <w:color w:val="000000"/>
          <w:sz w:val="24"/>
          <w:szCs w:val="24"/>
        </w:rPr>
        <w:t>Uso de IA: se utilizó asistencia para analizar el enunciado, redactar documentación y apoyar implementación y ejecución de pruebas. Las evidencias distinguen las ejecuciones asistidas de las verificaciones de Wilberth. El equipo debe comprender y verificar sus resultados.</w:t>
      </w:r>
    </w:p>
    <w:p>
      <w:pPr>
        <w:widowControl/>
      </w:pPr>
      <w:r>
        <w:rPr>
          <w:rFonts w:ascii="Arial" w:hAnsi="Arial" w:eastAsia="Arial" w:cs="Arial"/>
          <w:b w:val="0"/>
          <w:color w:val="000000"/>
          <w:sz w:val="24"/>
          <w:szCs w:val="24"/>
        </w:rPr>
        <w:t>Este Word conserva la edición del equipo. Antes de la entrega se completarán el trabajo de Jania, el acta, reproducibilidad, dos corridas finales limpias, métricas y dictamen con responsable, y se exportará a PDF conforme al enunciado.</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color w:val="000000"/>
        <w:sz w:val="24"/>
        <w:szCs w:val="24"/>
      </w:rPr>
      <w:t xml:space="preserve">Página </w:t>
    </w:r>
    <w:fldSimple w:instr="PAGE">
      <w:r>
        <w:rPr>
          <w:rFonts w:ascii="Arial" w:hAnsi="Arial"/>
          <w:sz w:val="24"/>
          <w:color w:val="000000"/>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sz w:val="24"/>
        <w:szCs w:val="24"/>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40" w:lineRule="auto"/>
    </w:pPr>
    <w:rPr>
      <w:rFonts w:ascii="Arial" w:hAnsi="Arial" w:eastAsia="Arial" w:cs="Arial"/>
      <w:color w:val="000000"/>
      <w:sz w:val="24"/>
      <w:szCs w:val="24"/>
    </w:rPr>
  </w:style>
  <w:style w:type="paragraph" w:styleId="Header">
    <w:name w:val="header"/>
    <w:basedOn w:val="Normal"/>
    <w:link w:val="HeaderChar"/>
    <w:uiPriority w:val="99"/>
    <w:unhideWhenUsed/>
    <w:rsid w:val="00E618BF"/>
    <w:pPr>
      <w:tabs>
        <w:tab w:val="center" w:pos="4680"/>
        <w:tab w:val="right" w:pos="9360"/>
      </w:tabs>
      <w:spacing w:after="120" w:line="264" w:lineRule="auto"/>
    </w:pPr>
    <w:rPr>
      <w:rFonts w:ascii="Arial" w:hAnsi="Arial" w:eastAsia="Arial" w:cs="Arial"/>
      <w:color w:val="000000"/>
      <w:sz w:val="24"/>
      <w:szCs w:val="24"/>
    </w:rPr>
  </w:style>
  <w:style w:type="character" w:customStyle="1" w:styleId="HeaderChar">
    <w:name w:val="Header Char"/>
    <w:basedOn w:val="DefaultParagraphFont"/>
    <w:link w:val="Header"/>
    <w:uiPriority w:val="99"/>
    <w:rsid w:val="00E618BF"/>
    <w:rPr>
      <w:rFonts w:ascii="Arial" w:hAnsi="Arial" w:eastAsia="Arial" w:cs="Arial"/>
      <w:color w:val="000000"/>
      <w:sz w:val="24"/>
      <w:szCs w:val="24"/>
    </w:rPr>
  </w:style>
  <w:style w:type="paragraph" w:styleId="Footer">
    <w:name w:val="footer"/>
    <w:basedOn w:val="Normal"/>
    <w:link w:val="FooterChar"/>
    <w:uiPriority w:val="99"/>
    <w:unhideWhenUsed/>
    <w:rsid w:val="00E618BF"/>
    <w:pPr>
      <w:tabs>
        <w:tab w:val="center" w:pos="4680"/>
        <w:tab w:val="right" w:pos="9360"/>
      </w:tabs>
      <w:spacing w:after="120" w:line="264" w:lineRule="auto"/>
    </w:pPr>
    <w:rPr>
      <w:rFonts w:ascii="Arial" w:hAnsi="Arial" w:eastAsia="Arial" w:cs="Arial"/>
      <w:color w:val="000000"/>
      <w:sz w:val="24"/>
      <w:szCs w:val="24"/>
    </w:rPr>
  </w:style>
  <w:style w:type="character" w:customStyle="1" w:styleId="FooterChar">
    <w:name w:val="Footer Char"/>
    <w:basedOn w:val="DefaultParagraphFont"/>
    <w:link w:val="Footer"/>
    <w:uiPriority w:val="99"/>
    <w:rsid w:val="00E618BF"/>
    <w:rPr>
      <w:rFonts w:ascii="Arial" w:hAnsi="Arial" w:eastAsia="Arial" w:cs="Arial"/>
      <w:color w:val="000000"/>
      <w:sz w:val="24"/>
      <w:szCs w:val="24"/>
    </w:rPr>
  </w:style>
  <w:style w:type="paragraph" w:styleId="Heading1">
    <w:name w:val="heading 1"/>
    <w:basedOn w:val="Normal"/>
    <w:next w:val="Normal"/>
    <w:link w:val="Heading1Char"/>
    <w:uiPriority w:val="9"/>
    <w:qFormat/>
    <w:rsid w:val="00FC693F"/>
    <w:pPr>
      <w:keepNext/>
      <w:keepLines/>
      <w:spacing w:before="180" w:after="100" w:line="240" w:lineRule="auto"/>
      <w:outlineLvl w:val="0"/>
    </w:pPr>
    <w:rPr>
      <w:rFonts w:ascii="Arial" w:hAnsi="Arial" w:eastAsia="Arial" w:cs="Arial"/>
      <w:b/>
      <w:bCs/>
      <w:color w:val="000000"/>
      <w:sz w:val="24"/>
      <w:szCs w:val="24"/>
    </w:rPr>
  </w:style>
  <w:style w:type="paragraph" w:styleId="Heading2">
    <w:name w:val="heading 2"/>
    <w:basedOn w:val="Normal"/>
    <w:next w:val="Normal"/>
    <w:link w:val="Heading2Char"/>
    <w:uiPriority w:val="9"/>
    <w:unhideWhenUsed/>
    <w:qFormat/>
    <w:rsid w:val="00FC693F"/>
    <w:pPr>
      <w:keepNext/>
      <w:keepLines/>
      <w:spacing w:before="180" w:after="100" w:line="240" w:lineRule="auto"/>
      <w:outlineLvl w:val="1"/>
    </w:pPr>
    <w:rPr>
      <w:rFonts w:ascii="Arial" w:hAnsi="Arial" w:eastAsia="Arial" w:cs="Arial"/>
      <w:b/>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180" w:after="100" w:line="240" w:lineRule="auto"/>
      <w:outlineLvl w:val="2"/>
    </w:pPr>
    <w:rPr>
      <w:rFonts w:ascii="Arial" w:hAnsi="Arial" w:eastAsia="Arial" w:cs="Arial"/>
      <w:b/>
      <w:b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120" w:line="264" w:lineRule="auto"/>
      <w:outlineLvl w:val="3"/>
    </w:pPr>
    <w:rPr>
      <w:rFonts w:ascii="Arial" w:hAnsi="Arial" w:eastAsia="Arial" w:cs="Arial"/>
      <w:b/>
      <w:bCs/>
      <w:i/>
      <w:iCs/>
      <w:color w:val="000000"/>
      <w:sz w:val="24"/>
      <w:szCs w:val="24"/>
    </w:rPr>
  </w:style>
  <w:style w:type="paragraph" w:styleId="Heading5">
    <w:name w:val="heading 5"/>
    <w:basedOn w:val="Normal"/>
    <w:next w:val="Normal"/>
    <w:link w:val="Heading5Char"/>
    <w:uiPriority w:val="9"/>
    <w:semiHidden/>
    <w:unhideWhenUsed/>
    <w:qFormat/>
    <w:rsid w:val="00FC693F"/>
    <w:pPr>
      <w:keepNext/>
      <w:keepLines/>
      <w:spacing w:before="200" w:after="120" w:line="264" w:lineRule="auto"/>
      <w:outlineLvl w:val="4"/>
    </w:pPr>
    <w:rPr>
      <w:rFonts w:ascii="Arial" w:hAnsi="Arial" w:eastAsia="Arial" w:cs="Arial"/>
      <w:color w:val="000000"/>
      <w:sz w:val="24"/>
      <w:szCs w:val="24"/>
    </w:rPr>
  </w:style>
  <w:style w:type="paragraph" w:styleId="Heading6">
    <w:name w:val="heading 6"/>
    <w:basedOn w:val="Normal"/>
    <w:next w:val="Normal"/>
    <w:link w:val="Heading6Char"/>
    <w:uiPriority w:val="9"/>
    <w:semiHidden/>
    <w:unhideWhenUsed/>
    <w:qFormat/>
    <w:rsid w:val="00FC693F"/>
    <w:pPr>
      <w:keepNext/>
      <w:keepLines/>
      <w:spacing w:before="200" w:after="120" w:line="264" w:lineRule="auto"/>
      <w:outlineLvl w:val="5"/>
    </w:pPr>
    <w:rPr>
      <w:rFonts w:ascii="Arial" w:hAnsi="Arial" w:eastAsia="Arial" w:cs="Arial"/>
      <w:i/>
      <w:iCs/>
      <w:color w:val="000000"/>
      <w:sz w:val="24"/>
      <w:szCs w:val="24"/>
    </w:rPr>
  </w:style>
  <w:style w:type="paragraph" w:styleId="Heading7">
    <w:name w:val="heading 7"/>
    <w:basedOn w:val="Normal"/>
    <w:next w:val="Normal"/>
    <w:link w:val="Heading7Char"/>
    <w:uiPriority w:val="9"/>
    <w:semiHidden/>
    <w:unhideWhenUsed/>
    <w:qFormat/>
    <w:rsid w:val="00FC693F"/>
    <w:pPr>
      <w:keepNext/>
      <w:keepLines/>
      <w:spacing w:before="200" w:after="120" w:line="264" w:lineRule="auto"/>
      <w:outlineLvl w:val="6"/>
    </w:pPr>
    <w:rPr>
      <w:rFonts w:ascii="Arial" w:hAnsi="Arial" w:eastAsia="Arial" w:cs="Arial"/>
      <w:i/>
      <w:iCs/>
      <w:color w:val="000000"/>
      <w:sz w:val="24"/>
      <w:szCs w:val="24"/>
    </w:rPr>
  </w:style>
  <w:style w:type="paragraph" w:styleId="Heading8">
    <w:name w:val="heading 8"/>
    <w:basedOn w:val="Normal"/>
    <w:next w:val="Normal"/>
    <w:link w:val="Heading8Char"/>
    <w:uiPriority w:val="9"/>
    <w:semiHidden/>
    <w:unhideWhenUsed/>
    <w:qFormat/>
    <w:rsid w:val="00FC693F"/>
    <w:pPr>
      <w:keepNext/>
      <w:keepLines/>
      <w:spacing w:before="200" w:after="120" w:line="264" w:lineRule="auto"/>
      <w:outlineLvl w:val="7"/>
    </w:pPr>
    <w:rPr>
      <w:rFonts w:ascii="Arial" w:hAnsi="Arial" w:eastAsia="Arial" w:cs="Arial"/>
      <w:color w:val="000000"/>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120" w:line="264" w:lineRule="auto"/>
      <w:outlineLvl w:val="8"/>
    </w:pPr>
    <w:rPr>
      <w:rFonts w:ascii="Arial" w:hAnsi="Arial" w:eastAsia="Arial" w:cs="Arial"/>
      <w:i/>
      <w:iCs/>
      <w:color w:val="000000"/>
      <w:sz w:val="24"/>
      <w:szCs w:val="24"/>
    </w:rPr>
  </w:style>
  <w:style w:type="character" w:default="1" w:styleId="DefaultParagraphFont">
    <w:name w:val="Default Paragraph Font"/>
    <w:uiPriority w:val="1"/>
    <w:semiHidden/>
    <w:unhideWhenUsed/>
    <w:rPr>
      <w:rFonts w:ascii="Arial" w:hAnsi="Arial" w:eastAsia="Arial" w:cs="Arial"/>
      <w:color w:val="000000"/>
      <w:sz w:val="24"/>
      <w:szCs w:val="24"/>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64" w:lineRule="auto"/>
    </w:pPr>
    <w:rPr>
      <w:rFonts w:ascii="Arial" w:hAnsi="Arial" w:eastAsia="Arial" w:cs="Arial"/>
      <w:color w:val="000000"/>
      <w:sz w:val="24"/>
      <w:szCs w:val="24"/>
    </w:rPr>
  </w:style>
  <w:style w:type="character" w:customStyle="1" w:styleId="Heading1Char">
    <w:name w:val="Heading 1 Char"/>
    <w:basedOn w:val="DefaultParagraphFont"/>
    <w:link w:val="Heading1"/>
    <w:uiPriority w:val="9"/>
    <w:rsid w:val="00FC693F"/>
    <w:rPr>
      <w:rFonts w:ascii="Arial" w:hAnsi="Arial" w:eastAsia="Arial" w:cs="Arial"/>
      <w:b/>
      <w:bCs/>
      <w:color w:val="000000"/>
      <w:sz w:val="24"/>
      <w:szCs w:val="24"/>
    </w:rPr>
  </w:style>
  <w:style w:type="character" w:customStyle="1" w:styleId="Heading2Char">
    <w:name w:val="Heading 2 Char"/>
    <w:basedOn w:val="DefaultParagraphFont"/>
    <w:link w:val="Heading2"/>
    <w:uiPriority w:val="9"/>
    <w:rsid w:val="00FC693F"/>
    <w:rPr>
      <w:rFonts w:ascii="Arial" w:hAnsi="Arial" w:eastAsia="Arial" w:cs="Arial"/>
      <w:b/>
      <w:bCs/>
      <w:color w:val="000000"/>
      <w:sz w:val="24"/>
      <w:szCs w:val="24"/>
    </w:rPr>
  </w:style>
  <w:style w:type="character" w:customStyle="1" w:styleId="Heading3Char">
    <w:name w:val="Heading 3 Char"/>
    <w:basedOn w:val="DefaultParagraphFont"/>
    <w:link w:val="Heading3"/>
    <w:uiPriority w:val="9"/>
    <w:rsid w:val="00FC693F"/>
    <w:rPr>
      <w:rFonts w:ascii="Arial" w:hAnsi="Arial" w:eastAsia="Arial" w:cs="Arial"/>
      <w:b/>
      <w:bCs/>
      <w:color w:val="000000"/>
      <w:sz w:val="24"/>
      <w:szCs w:val="24"/>
    </w:rPr>
  </w:style>
  <w:style w:type="paragraph" w:styleId="Title">
    <w:name w:val="Title"/>
    <w:basedOn w:val="Normal"/>
    <w:next w:val="Normal"/>
    <w:link w:val="TitleChar"/>
    <w:uiPriority w:val="10"/>
    <w:qFormat/>
    <w:rsid w:val="00FC693F"/>
    <w:pPr>
      <w:keepNext/>
      <w:spacing w:after="100" w:line="240" w:lineRule="auto" w:before="240"/>
      <w:contextualSpacing/>
    </w:pPr>
    <w:rPr>
      <w:rFonts w:ascii="Arial" w:hAnsi="Arial" w:eastAsia="Arial" w:cs="Arial"/>
      <w:b/>
      <w:color w:val="000000"/>
      <w:spacing w:val="5"/>
      <w:kern w:val="28"/>
      <w:sz w:val="24"/>
      <w:szCs w:val="24"/>
    </w:rPr>
  </w:style>
  <w:style w:type="character" w:customStyle="1" w:styleId="TitleChar">
    <w:name w:val="Title Char"/>
    <w:basedOn w:val="DefaultParagraphFont"/>
    <w:link w:val="Title"/>
    <w:uiPriority w:val="10"/>
    <w:rsid w:val="00FC693F"/>
    <w:rPr>
      <w:rFonts w:ascii="Arial" w:hAnsi="Arial" w:eastAsia="Arial" w:cs="Arial"/>
      <w:color w:val="000000"/>
      <w:spacing w:val="5"/>
      <w:kern w:val="28"/>
      <w:sz w:val="24"/>
      <w:szCs w:val="24"/>
    </w:rPr>
  </w:style>
  <w:style w:type="paragraph" w:styleId="Subtitle">
    <w:name w:val="Subtitle"/>
    <w:basedOn w:val="Normal"/>
    <w:next w:val="Normal"/>
    <w:link w:val="SubtitleChar"/>
    <w:uiPriority w:val="11"/>
    <w:qFormat/>
    <w:rsid w:val="00FC693F"/>
    <w:pPr>
      <w:keepNext/>
      <w:numPr>
        <w:ilvl w:val="1"/>
      </w:numPr>
      <w:spacing w:after="100" w:line="240" w:lineRule="auto" w:before="240"/>
    </w:pPr>
    <w:rPr>
      <w:rFonts w:ascii="Arial" w:hAnsi="Arial" w:eastAsia="Arial" w:cs="Arial"/>
      <w:b/>
      <w:i/>
      <w:iCs/>
      <w:color w:val="000000"/>
      <w:spacing w:val="15"/>
      <w:sz w:val="24"/>
      <w:szCs w:val="24"/>
    </w:rPr>
  </w:style>
  <w:style w:type="character" w:customStyle="1" w:styleId="SubtitleChar">
    <w:name w:val="Subtitle Char"/>
    <w:basedOn w:val="DefaultParagraphFont"/>
    <w:link w:val="Subtitle"/>
    <w:uiPriority w:val="11"/>
    <w:rsid w:val="00FC693F"/>
    <w:rPr>
      <w:rFonts w:ascii="Arial" w:hAnsi="Arial" w:eastAsia="Arial" w:cs="Arial"/>
      <w:i/>
      <w:iCs/>
      <w:color w:val="000000"/>
      <w:spacing w:val="15"/>
      <w:sz w:val="24"/>
      <w:szCs w:val="24"/>
    </w:rPr>
  </w:style>
  <w:style w:type="paragraph" w:styleId="ListParagraph">
    <w:name w:val="List Paragraph"/>
    <w:basedOn w:val="Normal"/>
    <w:uiPriority w:val="34"/>
    <w:qFormat/>
    <w:rsid w:val="00FC693F"/>
    <w:pPr>
      <w:spacing w:after="120" w:line="264" w:lineRule="auto"/>
      <w:ind w:left="720"/>
      <w:contextualSpacing/>
    </w:pPr>
    <w:rPr>
      <w:rFonts w:ascii="Arial" w:hAnsi="Arial" w:eastAsia="Arial" w:cs="Arial"/>
      <w:color w:val="000000"/>
      <w:sz w:val="24"/>
      <w:szCs w:val="24"/>
    </w:rPr>
  </w:style>
  <w:style w:type="paragraph" w:styleId="BodyText">
    <w:name w:val="Body Text"/>
    <w:basedOn w:val="Normal"/>
    <w:link w:val="BodyTextChar"/>
    <w:uiPriority w:val="99"/>
    <w:unhideWhenUsed/>
    <w:rsid w:val="00AA1D8D"/>
    <w:pPr>
      <w:spacing w:after="100" w:line="240" w:lineRule="auto"/>
    </w:pPr>
    <w:rPr>
      <w:rFonts w:ascii="Arial" w:hAnsi="Arial" w:eastAsia="Arial" w:cs="Arial"/>
      <w:color w:val="000000"/>
      <w:sz w:val="24"/>
      <w:szCs w:val="24"/>
    </w:rPr>
  </w:style>
  <w:style w:type="character" w:customStyle="1" w:styleId="BodyTextChar">
    <w:name w:val="Body Text Char"/>
    <w:basedOn w:val="DefaultParagraphFont"/>
    <w:link w:val="BodyText"/>
    <w:uiPriority w:val="99"/>
    <w:rsid w:val="00AA1D8D"/>
    <w:rPr>
      <w:rFonts w:ascii="Arial" w:hAnsi="Arial" w:eastAsia="Arial" w:cs="Arial"/>
      <w:color w:val="000000"/>
      <w:sz w:val="24"/>
      <w:szCs w:val="24"/>
    </w:rPr>
  </w:style>
  <w:style w:type="paragraph" w:styleId="BodyText2">
    <w:name w:val="Body Text 2"/>
    <w:basedOn w:val="Normal"/>
    <w:link w:val="BodyText2Char"/>
    <w:uiPriority w:val="99"/>
    <w:unhideWhenUsed/>
    <w:rsid w:val="00AA1D8D"/>
    <w:pPr>
      <w:spacing w:after="120" w:line="264" w:lineRule="auto"/>
    </w:pPr>
    <w:rPr>
      <w:rFonts w:ascii="Arial" w:hAnsi="Arial" w:eastAsia="Arial" w:cs="Arial"/>
      <w:color w:val="000000"/>
      <w:sz w:val="24"/>
      <w:szCs w:val="24"/>
    </w:rPr>
  </w:style>
  <w:style w:type="character" w:customStyle="1" w:styleId="BodyText2Char">
    <w:name w:val="Body Text 2 Char"/>
    <w:basedOn w:val="DefaultParagraphFont"/>
    <w:link w:val="BodyText2"/>
    <w:uiPriority w:val="99"/>
    <w:rsid w:val="00AA1D8D"/>
    <w:rPr>
      <w:rFonts w:ascii="Arial" w:hAnsi="Arial" w:eastAsia="Arial" w:cs="Arial"/>
      <w:color w:val="000000"/>
      <w:sz w:val="24"/>
      <w:szCs w:val="24"/>
    </w:rPr>
  </w:style>
  <w:style w:type="paragraph" w:styleId="BodyText3">
    <w:name w:val="Body Text 3"/>
    <w:basedOn w:val="Normal"/>
    <w:link w:val="BodyText3Char"/>
    <w:uiPriority w:val="99"/>
    <w:unhideWhenUsed/>
    <w:rsid w:val="00AA1D8D"/>
    <w:pPr>
      <w:spacing w:after="120" w:line="264" w:lineRule="auto"/>
    </w:pPr>
    <w:rPr>
      <w:rFonts w:ascii="Arial" w:hAnsi="Arial" w:eastAsia="Arial" w:cs="Arial"/>
      <w:color w:val="000000"/>
      <w:sz w:val="24"/>
      <w:szCs w:val="24"/>
    </w:rPr>
  </w:style>
  <w:style w:type="character" w:customStyle="1" w:styleId="BodyText3Char">
    <w:name w:val="Body Text 3 Char"/>
    <w:basedOn w:val="DefaultParagraphFont"/>
    <w:link w:val="BodyText3"/>
    <w:uiPriority w:val="99"/>
    <w:rsid w:val="00AA1D8D"/>
    <w:rPr>
      <w:rFonts w:ascii="Arial" w:hAnsi="Arial" w:eastAsia="Arial" w:cs="Arial"/>
      <w:color w:val="000000"/>
      <w:sz w:val="24"/>
      <w:szCs w:val="24"/>
    </w:rPr>
  </w:style>
  <w:style w:type="paragraph" w:styleId="List">
    <w:name w:val="List"/>
    <w:basedOn w:val="Normal"/>
    <w:uiPriority w:val="99"/>
    <w:unhideWhenUsed/>
    <w:rsid w:val="00AA1D8D"/>
    <w:pPr>
      <w:spacing w:after="120" w:line="264" w:lineRule="auto"/>
      <w:ind w:left="360" w:hanging="360"/>
      <w:contextualSpacing/>
    </w:pPr>
    <w:rPr>
      <w:rFonts w:ascii="Arial" w:hAnsi="Arial" w:eastAsia="Arial" w:cs="Arial"/>
      <w:color w:val="000000"/>
      <w:sz w:val="24"/>
      <w:szCs w:val="24"/>
    </w:rPr>
  </w:style>
  <w:style w:type="paragraph" w:styleId="List2">
    <w:name w:val="List 2"/>
    <w:basedOn w:val="Normal"/>
    <w:uiPriority w:val="99"/>
    <w:unhideWhenUsed/>
    <w:rsid w:val="00326F90"/>
    <w:pPr>
      <w:spacing w:after="120" w:line="264" w:lineRule="auto"/>
      <w:ind w:left="720" w:hanging="360"/>
      <w:contextualSpacing/>
    </w:pPr>
    <w:rPr>
      <w:rFonts w:ascii="Arial" w:hAnsi="Arial" w:eastAsia="Arial" w:cs="Arial"/>
      <w:color w:val="000000"/>
      <w:sz w:val="24"/>
      <w:szCs w:val="24"/>
    </w:rPr>
  </w:style>
  <w:style w:type="paragraph" w:styleId="List3">
    <w:name w:val="List 3"/>
    <w:basedOn w:val="Normal"/>
    <w:uiPriority w:val="99"/>
    <w:unhideWhenUsed/>
    <w:rsid w:val="00326F90"/>
    <w:pPr>
      <w:spacing w:after="120" w:line="264" w:lineRule="auto"/>
      <w:ind w:left="1080" w:hanging="360"/>
      <w:contextualSpacing/>
    </w:pPr>
    <w:rPr>
      <w:rFonts w:ascii="Arial" w:hAnsi="Arial" w:eastAsia="Arial" w:cs="Arial"/>
      <w:color w:val="000000"/>
      <w:sz w:val="24"/>
      <w:szCs w:val="24"/>
    </w:rPr>
  </w:style>
  <w:style w:type="paragraph" w:styleId="ListBullet">
    <w:name w:val="List Bullet"/>
    <w:basedOn w:val="Normal"/>
    <w:uiPriority w:val="99"/>
    <w:unhideWhenUsed/>
    <w:rsid w:val="00326F90"/>
    <w:pPr>
      <w:numPr>
        <w:numId w:val="1"/>
      </w:numPr>
      <w:spacing w:after="120" w:line="264" w:lineRule="auto"/>
      <w:contextualSpacing/>
    </w:pPr>
    <w:rPr>
      <w:rFonts w:ascii="Arial" w:hAnsi="Arial" w:eastAsia="Arial" w:cs="Arial"/>
      <w:color w:val="000000"/>
      <w:sz w:val="24"/>
      <w:szCs w:val="24"/>
    </w:rPr>
  </w:style>
  <w:style w:type="paragraph" w:styleId="ListBullet2">
    <w:name w:val="List Bullet 2"/>
    <w:basedOn w:val="Normal"/>
    <w:uiPriority w:val="99"/>
    <w:unhideWhenUsed/>
    <w:rsid w:val="00326F90"/>
    <w:pPr>
      <w:numPr>
        <w:numId w:val="2"/>
      </w:numPr>
      <w:spacing w:after="120" w:line="264" w:lineRule="auto"/>
      <w:contextualSpacing/>
    </w:pPr>
    <w:rPr>
      <w:rFonts w:ascii="Arial" w:hAnsi="Arial" w:eastAsia="Arial" w:cs="Arial"/>
      <w:color w:val="000000"/>
      <w:sz w:val="24"/>
      <w:szCs w:val="24"/>
    </w:rPr>
  </w:style>
  <w:style w:type="paragraph" w:styleId="ListBullet3">
    <w:name w:val="List Bullet 3"/>
    <w:basedOn w:val="Normal"/>
    <w:uiPriority w:val="99"/>
    <w:unhideWhenUsed/>
    <w:rsid w:val="00326F90"/>
    <w:pPr>
      <w:numPr>
        <w:numId w:val="3"/>
      </w:numPr>
      <w:spacing w:after="120" w:line="264" w:lineRule="auto"/>
      <w:contextualSpacing/>
    </w:pPr>
    <w:rPr>
      <w:rFonts w:ascii="Arial" w:hAnsi="Arial" w:eastAsia="Arial" w:cs="Arial"/>
      <w:color w:val="000000"/>
      <w:sz w:val="24"/>
      <w:szCs w:val="24"/>
    </w:rPr>
  </w:style>
  <w:style w:type="paragraph" w:styleId="ListNumber">
    <w:name w:val="List Number"/>
    <w:basedOn w:val="Normal"/>
    <w:uiPriority w:val="99"/>
    <w:unhideWhenUsed/>
    <w:rsid w:val="00326F90"/>
    <w:pPr>
      <w:numPr>
        <w:numId w:val="5"/>
      </w:numPr>
      <w:spacing w:after="120" w:line="264" w:lineRule="auto"/>
      <w:contextualSpacing/>
    </w:pPr>
    <w:rPr>
      <w:rFonts w:ascii="Arial" w:hAnsi="Arial" w:eastAsia="Arial" w:cs="Arial"/>
      <w:color w:val="000000"/>
      <w:sz w:val="24"/>
      <w:szCs w:val="24"/>
    </w:rPr>
  </w:style>
  <w:style w:type="paragraph" w:styleId="ListNumber2">
    <w:name w:val="List Number 2"/>
    <w:basedOn w:val="Normal"/>
    <w:uiPriority w:val="99"/>
    <w:unhideWhenUsed/>
    <w:rsid w:val="0029639D"/>
    <w:pPr>
      <w:numPr>
        <w:numId w:val="6"/>
      </w:numPr>
      <w:spacing w:after="120" w:line="264" w:lineRule="auto"/>
      <w:contextualSpacing/>
    </w:pPr>
    <w:rPr>
      <w:rFonts w:ascii="Arial" w:hAnsi="Arial" w:eastAsia="Arial" w:cs="Arial"/>
      <w:color w:val="000000"/>
      <w:sz w:val="24"/>
      <w:szCs w:val="24"/>
    </w:rPr>
  </w:style>
  <w:style w:type="paragraph" w:styleId="ListNumber3">
    <w:name w:val="List Number 3"/>
    <w:basedOn w:val="Normal"/>
    <w:uiPriority w:val="99"/>
    <w:unhideWhenUsed/>
    <w:rsid w:val="0029639D"/>
    <w:pPr>
      <w:numPr>
        <w:numId w:val="7"/>
      </w:numPr>
      <w:spacing w:after="120" w:line="264" w:lineRule="auto"/>
      <w:contextualSpacing/>
    </w:pPr>
    <w:rPr>
      <w:rFonts w:ascii="Arial" w:hAnsi="Arial" w:eastAsia="Arial" w:cs="Arial"/>
      <w:color w:val="000000"/>
      <w:sz w:val="24"/>
      <w:szCs w:val="24"/>
    </w:rPr>
  </w:style>
  <w:style w:type="paragraph" w:styleId="ListContinue">
    <w:name w:val="List Continue"/>
    <w:basedOn w:val="Normal"/>
    <w:uiPriority w:val="99"/>
    <w:unhideWhenUsed/>
    <w:rsid w:val="0029639D"/>
    <w:pPr>
      <w:spacing w:after="120" w:line="264" w:lineRule="auto"/>
      <w:ind w:left="360"/>
      <w:contextualSpacing/>
    </w:pPr>
    <w:rPr>
      <w:rFonts w:ascii="Arial" w:hAnsi="Arial" w:eastAsia="Arial" w:cs="Arial"/>
      <w:color w:val="000000"/>
      <w:sz w:val="24"/>
      <w:szCs w:val="24"/>
    </w:rPr>
  </w:style>
  <w:style w:type="paragraph" w:styleId="ListContinue2">
    <w:name w:val="List Continue 2"/>
    <w:basedOn w:val="Normal"/>
    <w:uiPriority w:val="99"/>
    <w:unhideWhenUsed/>
    <w:rsid w:val="0029639D"/>
    <w:pPr>
      <w:spacing w:after="120" w:line="264" w:lineRule="auto"/>
      <w:ind w:left="720"/>
      <w:contextualSpacing/>
    </w:pPr>
    <w:rPr>
      <w:rFonts w:ascii="Arial" w:hAnsi="Arial" w:eastAsia="Arial" w:cs="Arial"/>
      <w:color w:val="000000"/>
      <w:sz w:val="24"/>
      <w:szCs w:val="24"/>
    </w:rPr>
  </w:style>
  <w:style w:type="paragraph" w:styleId="ListContinue3">
    <w:name w:val="List Continue 3"/>
    <w:basedOn w:val="Normal"/>
    <w:uiPriority w:val="99"/>
    <w:unhideWhenUsed/>
    <w:rsid w:val="0029639D"/>
    <w:pPr>
      <w:spacing w:after="120" w:line="264" w:lineRule="auto"/>
      <w:ind w:left="1080"/>
      <w:contextualSpacing/>
    </w:pPr>
    <w:rPr>
      <w:rFonts w:ascii="Arial" w:hAnsi="Arial" w:eastAsia="Arial" w:cs="Arial"/>
      <w:color w:val="000000"/>
      <w:sz w:val="24"/>
      <w:szCs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64" w:lineRule="auto"/>
    </w:pPr>
    <w:rPr>
      <w:rFonts w:ascii="Arial" w:hAnsi="Arial" w:eastAsia="Arial" w:cs="Arial"/>
      <w:color w:val="000000"/>
      <w:sz w:val="24"/>
      <w:szCs w:val="24"/>
    </w:rPr>
  </w:style>
  <w:style w:type="character" w:customStyle="1" w:styleId="MacroTextChar">
    <w:name w:val="Macro Text Char"/>
    <w:basedOn w:val="DefaultParagraphFont"/>
    <w:link w:val="MacroText"/>
    <w:uiPriority w:val="99"/>
    <w:rsid w:val="0029639D"/>
    <w:rPr>
      <w:rFonts w:ascii="Arial" w:hAnsi="Arial" w:eastAsia="Arial" w:cs="Arial"/>
      <w:color w:val="000000"/>
      <w:sz w:val="24"/>
      <w:szCs w:val="24"/>
    </w:rPr>
  </w:style>
  <w:style w:type="paragraph" w:styleId="Quote">
    <w:name w:val="Quote"/>
    <w:basedOn w:val="Normal"/>
    <w:next w:val="Normal"/>
    <w:link w:val="QuoteChar"/>
    <w:uiPriority w:val="29"/>
    <w:qFormat/>
    <w:rsid w:val="00FC693F"/>
    <w:pPr>
      <w:spacing w:after="120" w:line="264" w:lineRule="auto"/>
    </w:pPr>
    <w:rPr>
      <w:rFonts w:ascii="Arial" w:hAnsi="Arial" w:eastAsia="Arial" w:cs="Arial"/>
      <w:i/>
      <w:iCs/>
      <w:color w:val="000000"/>
      <w:sz w:val="24"/>
      <w:szCs w:val="24"/>
    </w:rPr>
  </w:style>
  <w:style w:type="character" w:customStyle="1" w:styleId="QuoteChar">
    <w:name w:val="Quote Char"/>
    <w:basedOn w:val="DefaultParagraphFont"/>
    <w:link w:val="Quote"/>
    <w:uiPriority w:val="29"/>
    <w:rsid w:val="00FC693F"/>
    <w:rPr>
      <w:rFonts w:ascii="Arial" w:hAnsi="Arial" w:eastAsia="Arial" w:cs="Arial"/>
      <w:i/>
      <w:iCs/>
      <w:color w:val="000000"/>
      <w:sz w:val="24"/>
      <w:szCs w:val="24"/>
    </w:rPr>
  </w:style>
  <w:style w:type="character" w:customStyle="1" w:styleId="Heading4Char">
    <w:name w:val="Heading 4 Char"/>
    <w:basedOn w:val="DefaultParagraphFont"/>
    <w:link w:val="Heading4"/>
    <w:uiPriority w:val="9"/>
    <w:semiHidden/>
    <w:rsid w:val="00FC693F"/>
    <w:rPr>
      <w:rFonts w:ascii="Arial" w:hAnsi="Arial" w:eastAsia="Arial" w:cs="Arial"/>
      <w:b/>
      <w:bCs/>
      <w:i/>
      <w:iCs/>
      <w:color w:val="000000"/>
      <w:sz w:val="24"/>
      <w:szCs w:val="24"/>
    </w:rPr>
  </w:style>
  <w:style w:type="character" w:customStyle="1" w:styleId="Heading5Char">
    <w:name w:val="Heading 5 Char"/>
    <w:basedOn w:val="DefaultParagraphFont"/>
    <w:link w:val="Heading5"/>
    <w:uiPriority w:val="9"/>
    <w:semiHidden/>
    <w:rsid w:val="00FC693F"/>
    <w:rPr>
      <w:rFonts w:ascii="Arial" w:hAnsi="Arial" w:eastAsia="Arial" w:cs="Arial"/>
      <w:color w:val="000000"/>
      <w:sz w:val="24"/>
      <w:szCs w:val="24"/>
    </w:rPr>
  </w:style>
  <w:style w:type="character" w:customStyle="1" w:styleId="Heading6Char">
    <w:name w:val="Heading 6 Char"/>
    <w:basedOn w:val="DefaultParagraphFont"/>
    <w:link w:val="Heading6"/>
    <w:uiPriority w:val="9"/>
    <w:semiHidden/>
    <w:rsid w:val="00FC693F"/>
    <w:rPr>
      <w:rFonts w:ascii="Arial" w:hAnsi="Arial" w:eastAsia="Arial" w:cs="Arial"/>
      <w:i/>
      <w:iCs/>
      <w:color w:val="000000"/>
      <w:sz w:val="24"/>
      <w:szCs w:val="24"/>
    </w:rPr>
  </w:style>
  <w:style w:type="character" w:customStyle="1" w:styleId="Heading7Char">
    <w:name w:val="Heading 7 Char"/>
    <w:basedOn w:val="DefaultParagraphFont"/>
    <w:link w:val="Heading7"/>
    <w:uiPriority w:val="9"/>
    <w:semiHidden/>
    <w:rsid w:val="00FC693F"/>
    <w:rPr>
      <w:rFonts w:ascii="Arial" w:hAnsi="Arial" w:eastAsia="Arial" w:cs="Arial"/>
      <w:i/>
      <w:iCs/>
      <w:color w:val="000000"/>
      <w:sz w:val="24"/>
      <w:szCs w:val="24"/>
    </w:rPr>
  </w:style>
  <w:style w:type="character" w:customStyle="1" w:styleId="Heading8Char">
    <w:name w:val="Heading 8 Char"/>
    <w:basedOn w:val="DefaultParagraphFont"/>
    <w:link w:val="Heading8"/>
    <w:uiPriority w:val="9"/>
    <w:semiHidden/>
    <w:rsid w:val="00FC693F"/>
    <w:rPr>
      <w:rFonts w:ascii="Arial" w:hAnsi="Arial" w:eastAsia="Arial" w:cs="Arial"/>
      <w:color w:val="000000"/>
      <w:sz w:val="24"/>
      <w:szCs w:val="24"/>
    </w:rPr>
  </w:style>
  <w:style w:type="character" w:customStyle="1" w:styleId="Heading9Char">
    <w:name w:val="Heading 9 Char"/>
    <w:basedOn w:val="DefaultParagraphFont"/>
    <w:link w:val="Heading9"/>
    <w:uiPriority w:val="9"/>
    <w:semiHidden/>
    <w:rsid w:val="00FC693F"/>
    <w:rPr>
      <w:rFonts w:ascii="Arial" w:hAnsi="Arial" w:eastAsia="Arial" w:cs="Arial"/>
      <w:i/>
      <w:iCs/>
      <w:color w:val="000000"/>
      <w:sz w:val="24"/>
      <w:szCs w:val="24"/>
    </w:rPr>
  </w:style>
  <w:style w:type="paragraph" w:styleId="Caption">
    <w:name w:val="caption"/>
    <w:basedOn w:val="Normal"/>
    <w:next w:val="Normal"/>
    <w:uiPriority w:val="35"/>
    <w:semiHidden/>
    <w:unhideWhenUsed/>
    <w:qFormat/>
    <w:rsid w:val="00FC693F"/>
    <w:pPr>
      <w:spacing w:line="264" w:lineRule="auto" w:after="120"/>
    </w:pPr>
    <w:rPr>
      <w:rFonts w:ascii="Arial" w:hAnsi="Arial" w:eastAsia="Arial" w:cs="Arial"/>
      <w:b/>
      <w:bCs/>
      <w:color w:val="000000"/>
      <w:sz w:val="24"/>
      <w:szCs w:val="24"/>
    </w:rPr>
  </w:style>
  <w:style w:type="character" w:styleId="Strong">
    <w:name w:val="Strong"/>
    <w:basedOn w:val="DefaultParagraphFont"/>
    <w:uiPriority w:val="22"/>
    <w:qFormat/>
    <w:rsid w:val="00FC693F"/>
    <w:rPr>
      <w:rFonts w:ascii="Arial" w:hAnsi="Arial" w:eastAsia="Arial" w:cs="Arial"/>
      <w:b/>
      <w:bCs/>
      <w:color w:val="000000"/>
      <w:sz w:val="24"/>
      <w:szCs w:val="24"/>
    </w:rPr>
  </w:style>
  <w:style w:type="character" w:styleId="Emphasis">
    <w:name w:val="Emphasis"/>
    <w:basedOn w:val="DefaultParagraphFont"/>
    <w:uiPriority w:val="20"/>
    <w:qFormat/>
    <w:rsid w:val="00FC693F"/>
    <w:rPr>
      <w:rFonts w:ascii="Arial" w:hAnsi="Arial" w:eastAsia="Arial" w:cs="Arial"/>
      <w:i/>
      <w:iCs/>
      <w:color w:val="000000"/>
      <w:sz w:val="24"/>
      <w:szCs w:val="24"/>
    </w:rPr>
  </w:style>
  <w:style w:type="paragraph" w:styleId="IntenseQuote">
    <w:name w:val="Intense Quote"/>
    <w:basedOn w:val="Normal"/>
    <w:next w:val="Normal"/>
    <w:link w:val="IntenseQuoteChar"/>
    <w:uiPriority w:val="30"/>
    <w:qFormat/>
    <w:rsid w:val="00FC693F"/>
    <w:pPr>
      <w:spacing w:before="200" w:after="120" w:line="264" w:lineRule="auto"/>
      <w:ind w:left="936" w:right="936"/>
    </w:pPr>
    <w:rPr>
      <w:rFonts w:ascii="Arial" w:hAnsi="Arial" w:eastAsia="Arial" w:cs="Arial"/>
      <w:b/>
      <w:bCs/>
      <w:i/>
      <w:iCs/>
      <w:color w:val="000000"/>
      <w:sz w:val="24"/>
      <w:szCs w:val="24"/>
    </w:rPr>
  </w:style>
  <w:style w:type="character" w:customStyle="1" w:styleId="IntenseQuoteChar">
    <w:name w:val="Intense Quote Char"/>
    <w:basedOn w:val="DefaultParagraphFont"/>
    <w:link w:val="IntenseQuote"/>
    <w:uiPriority w:val="30"/>
    <w:rsid w:val="00FC693F"/>
    <w:rPr>
      <w:rFonts w:ascii="Arial" w:hAnsi="Arial" w:eastAsia="Arial" w:cs="Arial"/>
      <w:b/>
      <w:bCs/>
      <w:i/>
      <w:iCs/>
      <w:color w:val="000000"/>
      <w:sz w:val="24"/>
      <w:szCs w:val="24"/>
    </w:rPr>
  </w:style>
  <w:style w:type="character" w:styleId="SubtleEmphasis">
    <w:name w:val="Subtle Emphasis"/>
    <w:basedOn w:val="DefaultParagraphFont"/>
    <w:uiPriority w:val="19"/>
    <w:qFormat/>
    <w:rsid w:val="00FC693F"/>
    <w:rPr>
      <w:rFonts w:ascii="Arial" w:hAnsi="Arial" w:eastAsia="Arial" w:cs="Arial"/>
      <w:i/>
      <w:iCs/>
      <w:color w:val="000000"/>
      <w:sz w:val="24"/>
      <w:szCs w:val="24"/>
    </w:rPr>
  </w:style>
  <w:style w:type="character" w:styleId="IntenseEmphasis">
    <w:name w:val="Intense Emphasis"/>
    <w:basedOn w:val="DefaultParagraphFont"/>
    <w:uiPriority w:val="21"/>
    <w:qFormat/>
    <w:rsid w:val="00FC693F"/>
    <w:rPr>
      <w:rFonts w:ascii="Arial" w:hAnsi="Arial" w:eastAsia="Arial" w:cs="Arial"/>
      <w:b/>
      <w:bCs/>
      <w:i/>
      <w:iCs/>
      <w:color w:val="000000"/>
      <w:sz w:val="24"/>
      <w:szCs w:val="24"/>
    </w:rPr>
  </w:style>
  <w:style w:type="character" w:styleId="SubtleReference">
    <w:name w:val="Subtle Reference"/>
    <w:basedOn w:val="DefaultParagraphFont"/>
    <w:uiPriority w:val="31"/>
    <w:qFormat/>
    <w:rsid w:val="00FC693F"/>
    <w:rPr>
      <w:rFonts w:ascii="Arial" w:hAnsi="Arial" w:eastAsia="Arial" w:cs="Arial"/>
      <w:smallCaps/>
      <w:color w:val="000000"/>
      <w:sz w:val="24"/>
      <w:u w:val="single"/>
      <w:szCs w:val="24"/>
    </w:rPr>
  </w:style>
  <w:style w:type="character" w:styleId="IntenseReference">
    <w:name w:val="Intense Reference"/>
    <w:basedOn w:val="DefaultParagraphFont"/>
    <w:uiPriority w:val="32"/>
    <w:qFormat/>
    <w:rsid w:val="00FC693F"/>
    <w:rPr>
      <w:rFonts w:ascii="Arial" w:hAnsi="Arial" w:eastAsia="Arial" w:cs="Arial"/>
      <w:b/>
      <w:bCs/>
      <w:smallCaps/>
      <w:color w:val="000000"/>
      <w:spacing w:val="5"/>
      <w:sz w:val="24"/>
      <w:u w:val="single"/>
      <w:szCs w:val="24"/>
    </w:rPr>
  </w:style>
  <w:style w:type="character" w:styleId="BookTitle">
    <w:name w:val="Book Title"/>
    <w:basedOn w:val="DefaultParagraphFont"/>
    <w:uiPriority w:val="33"/>
    <w:qFormat/>
    <w:rsid w:val="00FC693F"/>
    <w:rPr>
      <w:rFonts w:ascii="Arial" w:hAnsi="Arial" w:eastAsia="Arial" w:cs="Arial"/>
      <w:b/>
      <w:bCs/>
      <w:smallCaps/>
      <w:color w:val="000000"/>
      <w:spacing w:val="5"/>
      <w:sz w:val="24"/>
      <w:szCs w:val="24"/>
    </w:rPr>
  </w:style>
  <w:style w:type="paragraph" w:styleId="TOCHeading">
    <w:name w:val="TOC Heading"/>
    <w:basedOn w:val="Heading1"/>
    <w:next w:val="Normal"/>
    <w:uiPriority w:val="39"/>
    <w:semiHidden/>
    <w:unhideWhenUsed/>
    <w:qFormat/>
    <w:rsid w:val="00FC693F"/>
    <w:pPr>
      <w:spacing w:after="120" w:line="264" w:lineRule="auto"/>
      <w:outlineLvl w:val="9"/>
    </w:pPr>
    <w:rPr>
      <w:rFonts w:ascii="Arial" w:hAnsi="Arial" w:eastAsia="Arial" w:cs="Arial"/>
      <w:color w:val="000000"/>
      <w:sz w:val="24"/>
      <w:szCs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fill="FFFFFF"/>
      </w:tcPr>
    </w:tblStylePr>
    <w:tblStylePr w:type="band1Horz">
      <w:tblPr/>
      <w:tcPr>
        <w:tcBorders>
          <w:left w:val="nil"/>
          <w:right w:val="nil"/>
          <w:insideH w:val="nil"/>
          <w:insideV w:val="nil"/>
        </w:tcBorders>
        <w:shd w:val="clear"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fill="FFFFFF"/>
      </w:tcPr>
    </w:tblStylePr>
    <w:tblStylePr w:type="band1Horz">
      <w:tblPr/>
      <w:tcPr>
        <w:tcBorders>
          <w:left w:val="nil"/>
          <w:right w:val="nil"/>
          <w:insideH w:val="nil"/>
          <w:insideV w:val="nil"/>
        </w:tcBorders>
        <w:shd w:val="clear"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fill="FFFFFF"/>
      </w:tcPr>
    </w:tblStylePr>
    <w:tblStylePr w:type="band1Horz">
      <w:tblPr/>
      <w:tcPr>
        <w:tcBorders>
          <w:left w:val="nil"/>
          <w:right w:val="nil"/>
          <w:insideH w:val="nil"/>
          <w:insideV w:val="nil"/>
        </w:tcBorders>
        <w:shd w:val="clear"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fill="FFFFFF"/>
      </w:tcPr>
    </w:tblStylePr>
    <w:tblStylePr w:type="band1Horz">
      <w:tblPr/>
      <w:tcPr>
        <w:tcBorders>
          <w:left w:val="nil"/>
          <w:right w:val="nil"/>
          <w:insideH w:val="nil"/>
          <w:insideV w:val="nil"/>
        </w:tcBorders>
        <w:shd w:val="clear"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fill="FFFFFF"/>
      </w:tcPr>
    </w:tblStylePr>
    <w:tblStylePr w:type="band1Horz">
      <w:tblPr/>
      <w:tcPr>
        <w:tcBorders>
          <w:left w:val="nil"/>
          <w:right w:val="nil"/>
          <w:insideH w:val="nil"/>
          <w:insideV w:val="nil"/>
        </w:tcBorders>
        <w:shd w:val="clear"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fill="FFFFFF"/>
      </w:tcPr>
    </w:tblStylePr>
    <w:tblStylePr w:type="band1Horz">
      <w:tblPr/>
      <w:tcPr>
        <w:tcBorders>
          <w:left w:val="nil"/>
          <w:right w:val="nil"/>
          <w:insideH w:val="nil"/>
          <w:insideV w:val="nil"/>
        </w:tcBorders>
        <w:shd w:val="clear"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fill="FFFFFF"/>
      </w:tcPr>
    </w:tblStylePr>
    <w:tblStylePr w:type="band1Horz">
      <w:tblPr/>
      <w:tcPr>
        <w:tcBorders>
          <w:left w:val="nil"/>
          <w:right w:val="nil"/>
          <w:insideH w:val="nil"/>
          <w:insideV w:val="nil"/>
        </w:tcBorders>
        <w:shd w:val="clear"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fill="FFFFFF"/>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fill="FFFFFF"/>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fill="FFFFFF"/>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fill="FFFFFF"/>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fill="FFFFFF"/>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fill="FFFFFF"/>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fill="FFFFFF"/>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eastAsia="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fill="FFFFF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fill="FFFFF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eastAsia="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fill="FFFFF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fill="FFFFF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eastAsia="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fill="FFFFF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fill="FFFFF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eastAsia="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fill="FFFFF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fill="FFFFF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eastAsia="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fill="FFFFF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fill="FFFFF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eastAsia="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fill="FFFFF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fill="FFFFF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eastAsia="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fill="FFFFF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fill="FFFFF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fill="FFFFFF"/>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fill="FFFFFF"/>
      </w:tcPr>
    </w:tblStylePr>
    <w:tblStylePr w:type="band1Horz">
      <w:tblPr/>
      <w:tcPr>
        <w:tcBorders>
          <w:insideH w:val="nil"/>
          <w:insideV w:val="nil"/>
        </w:tcBorders>
        <w:shd w:val="clear"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fill="FFFFFF"/>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fill="FFFFFF"/>
      </w:tcPr>
    </w:tblStylePr>
    <w:tblStylePr w:type="band1Horz">
      <w:tblPr/>
      <w:tcPr>
        <w:tcBorders>
          <w:insideH w:val="nil"/>
          <w:insideV w:val="nil"/>
        </w:tcBorders>
        <w:shd w:val="clear"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fill="FFFFFF"/>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fill="FFFFFF"/>
      </w:tcPr>
    </w:tblStylePr>
    <w:tblStylePr w:type="band1Horz">
      <w:tblPr/>
      <w:tcPr>
        <w:tcBorders>
          <w:insideH w:val="nil"/>
          <w:insideV w:val="nil"/>
        </w:tcBorders>
        <w:shd w:val="clear"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fill="FFFFFF"/>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fill="FFFFFF"/>
      </w:tcPr>
    </w:tblStylePr>
    <w:tblStylePr w:type="band1Horz">
      <w:tblPr/>
      <w:tcPr>
        <w:tcBorders>
          <w:insideH w:val="nil"/>
          <w:insideV w:val="nil"/>
        </w:tcBorders>
        <w:shd w:val="clear"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fill="FFFFFF"/>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fill="FFFFFF"/>
      </w:tcPr>
    </w:tblStylePr>
    <w:tblStylePr w:type="band1Horz">
      <w:tblPr/>
      <w:tcPr>
        <w:tcBorders>
          <w:insideH w:val="nil"/>
          <w:insideV w:val="nil"/>
        </w:tcBorders>
        <w:shd w:val="clear"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fill="FFFFFF"/>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fill="FFFFFF"/>
      </w:tcPr>
    </w:tblStylePr>
    <w:tblStylePr w:type="band1Horz">
      <w:tblPr/>
      <w:tcPr>
        <w:tcBorders>
          <w:insideH w:val="nil"/>
          <w:insideV w:val="nil"/>
        </w:tcBorders>
        <w:shd w:val="clear"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fill="FFFFFF"/>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fill="FFFFFF"/>
      </w:tcPr>
    </w:tblStylePr>
    <w:tblStylePr w:type="band1Horz">
      <w:tblPr/>
      <w:tcPr>
        <w:tcBorders>
          <w:insideH w:val="nil"/>
          <w:insideV w:val="nil"/>
        </w:tcBorders>
        <w:shd w:val="clear"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fill="FFFFFF"/>
      </w:tcPr>
    </w:tblStylePr>
    <w:tblStylePr w:type="firstCol">
      <w:rPr>
        <w:b/>
        <w:bCs/>
        <w:color w:val="000000"/>
      </w:rPr>
      <w:tblPr/>
      <w:tcPr>
        <w:tcBorders>
          <w:top w:val="nil"/>
          <w:left w:val="nil"/>
          <w:bottom w:val="single" w:sz="18" w:space="0" w:color="auto"/>
          <w:right w:val="nil"/>
          <w:insideH w:val="nil"/>
          <w:insideV w:val="nil"/>
        </w:tcBorders>
        <w:shd w:val="clear" w:fill="FFFFFF"/>
      </w:tcPr>
    </w:tblStylePr>
    <w:tblStylePr w:type="lastCol">
      <w:rPr>
        <w:b/>
        <w:bCs/>
        <w:color w:val="000000"/>
      </w:rPr>
      <w:tblPr/>
      <w:tcPr>
        <w:tcBorders>
          <w:left w:val="nil"/>
          <w:right w:val="nil"/>
          <w:insideH w:val="nil"/>
          <w:insideV w:val="nil"/>
        </w:tcBorders>
        <w:shd w:val="clear" w:fill="FFFFFF"/>
      </w:tcPr>
    </w:tblStylePr>
    <w:tblStylePr w:type="band1Vert">
      <w:tblPr/>
      <w:tcPr>
        <w:tcBorders>
          <w:left w:val="nil"/>
          <w:right w:val="nil"/>
          <w:insideH w:val="nil"/>
          <w:insideV w:val="nil"/>
        </w:tcBorders>
        <w:shd w:val="clear" w:fill="FFFFFF"/>
      </w:tcPr>
    </w:tblStylePr>
    <w:tblStylePr w:type="band1Horz">
      <w:tblPr/>
      <w:tcPr>
        <w:shd w:val="clear"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fill="FFFFFF"/>
      </w:tcPr>
    </w:tblStylePr>
    <w:tblStylePr w:type="firstCol">
      <w:rPr>
        <w:b/>
        <w:bCs/>
        <w:color w:val="000000"/>
      </w:rPr>
      <w:tblPr/>
      <w:tcPr>
        <w:tcBorders>
          <w:top w:val="nil"/>
          <w:left w:val="nil"/>
          <w:bottom w:val="single" w:sz="18" w:space="0" w:color="auto"/>
          <w:right w:val="nil"/>
          <w:insideH w:val="nil"/>
          <w:insideV w:val="nil"/>
        </w:tcBorders>
        <w:shd w:val="clear" w:fill="FFFFFF"/>
      </w:tcPr>
    </w:tblStylePr>
    <w:tblStylePr w:type="lastCol">
      <w:rPr>
        <w:b/>
        <w:bCs/>
        <w:color w:val="000000"/>
      </w:rPr>
      <w:tblPr/>
      <w:tcPr>
        <w:tcBorders>
          <w:left w:val="nil"/>
          <w:right w:val="nil"/>
          <w:insideH w:val="nil"/>
          <w:insideV w:val="nil"/>
        </w:tcBorders>
        <w:shd w:val="clear" w:fill="FFFFFF"/>
      </w:tcPr>
    </w:tblStylePr>
    <w:tblStylePr w:type="band1Vert">
      <w:tblPr/>
      <w:tcPr>
        <w:tcBorders>
          <w:left w:val="nil"/>
          <w:right w:val="nil"/>
          <w:insideH w:val="nil"/>
          <w:insideV w:val="nil"/>
        </w:tcBorders>
        <w:shd w:val="clear" w:fill="FFFFFF"/>
      </w:tcPr>
    </w:tblStylePr>
    <w:tblStylePr w:type="band1Horz">
      <w:tblPr/>
      <w:tcPr>
        <w:shd w:val="clear"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fill="FFFFFF"/>
      </w:tcPr>
    </w:tblStylePr>
    <w:tblStylePr w:type="firstCol">
      <w:rPr>
        <w:b/>
        <w:bCs/>
        <w:color w:val="000000"/>
      </w:rPr>
      <w:tblPr/>
      <w:tcPr>
        <w:tcBorders>
          <w:top w:val="nil"/>
          <w:left w:val="nil"/>
          <w:bottom w:val="single" w:sz="18" w:space="0" w:color="auto"/>
          <w:right w:val="nil"/>
          <w:insideH w:val="nil"/>
          <w:insideV w:val="nil"/>
        </w:tcBorders>
        <w:shd w:val="clear" w:fill="FFFFFF"/>
      </w:tcPr>
    </w:tblStylePr>
    <w:tblStylePr w:type="lastCol">
      <w:rPr>
        <w:b/>
        <w:bCs/>
        <w:color w:val="000000"/>
      </w:rPr>
      <w:tblPr/>
      <w:tcPr>
        <w:tcBorders>
          <w:left w:val="nil"/>
          <w:right w:val="nil"/>
          <w:insideH w:val="nil"/>
          <w:insideV w:val="nil"/>
        </w:tcBorders>
        <w:shd w:val="clear" w:fill="FFFFFF"/>
      </w:tcPr>
    </w:tblStylePr>
    <w:tblStylePr w:type="band1Vert">
      <w:tblPr/>
      <w:tcPr>
        <w:tcBorders>
          <w:left w:val="nil"/>
          <w:right w:val="nil"/>
          <w:insideH w:val="nil"/>
          <w:insideV w:val="nil"/>
        </w:tcBorders>
        <w:shd w:val="clear" w:fill="FFFFFF"/>
      </w:tcPr>
    </w:tblStylePr>
    <w:tblStylePr w:type="band1Horz">
      <w:tblPr/>
      <w:tcPr>
        <w:shd w:val="clear"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fill="FFFFFF"/>
      </w:tcPr>
    </w:tblStylePr>
    <w:tblStylePr w:type="firstCol">
      <w:rPr>
        <w:b/>
        <w:bCs/>
        <w:color w:val="000000"/>
      </w:rPr>
      <w:tblPr/>
      <w:tcPr>
        <w:tcBorders>
          <w:top w:val="nil"/>
          <w:left w:val="nil"/>
          <w:bottom w:val="single" w:sz="18" w:space="0" w:color="auto"/>
          <w:right w:val="nil"/>
          <w:insideH w:val="nil"/>
          <w:insideV w:val="nil"/>
        </w:tcBorders>
        <w:shd w:val="clear" w:fill="FFFFFF"/>
      </w:tcPr>
    </w:tblStylePr>
    <w:tblStylePr w:type="lastCol">
      <w:rPr>
        <w:b/>
        <w:bCs/>
        <w:color w:val="000000"/>
      </w:rPr>
      <w:tblPr/>
      <w:tcPr>
        <w:tcBorders>
          <w:left w:val="nil"/>
          <w:right w:val="nil"/>
          <w:insideH w:val="nil"/>
          <w:insideV w:val="nil"/>
        </w:tcBorders>
        <w:shd w:val="clear" w:fill="FFFFFF"/>
      </w:tcPr>
    </w:tblStylePr>
    <w:tblStylePr w:type="band1Vert">
      <w:tblPr/>
      <w:tcPr>
        <w:tcBorders>
          <w:left w:val="nil"/>
          <w:right w:val="nil"/>
          <w:insideH w:val="nil"/>
          <w:insideV w:val="nil"/>
        </w:tcBorders>
        <w:shd w:val="clear" w:fill="FFFFFF"/>
      </w:tcPr>
    </w:tblStylePr>
    <w:tblStylePr w:type="band1Horz">
      <w:tblPr/>
      <w:tcPr>
        <w:shd w:val="clear"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fill="FFFFFF"/>
      </w:tcPr>
    </w:tblStylePr>
    <w:tblStylePr w:type="firstCol">
      <w:rPr>
        <w:b/>
        <w:bCs/>
        <w:color w:val="000000"/>
      </w:rPr>
      <w:tblPr/>
      <w:tcPr>
        <w:tcBorders>
          <w:top w:val="nil"/>
          <w:left w:val="nil"/>
          <w:bottom w:val="single" w:sz="18" w:space="0" w:color="auto"/>
          <w:right w:val="nil"/>
          <w:insideH w:val="nil"/>
          <w:insideV w:val="nil"/>
        </w:tcBorders>
        <w:shd w:val="clear" w:fill="FFFFFF"/>
      </w:tcPr>
    </w:tblStylePr>
    <w:tblStylePr w:type="lastCol">
      <w:rPr>
        <w:b/>
        <w:bCs/>
        <w:color w:val="000000"/>
      </w:rPr>
      <w:tblPr/>
      <w:tcPr>
        <w:tcBorders>
          <w:left w:val="nil"/>
          <w:right w:val="nil"/>
          <w:insideH w:val="nil"/>
          <w:insideV w:val="nil"/>
        </w:tcBorders>
        <w:shd w:val="clear" w:fill="FFFFFF"/>
      </w:tcPr>
    </w:tblStylePr>
    <w:tblStylePr w:type="band1Vert">
      <w:tblPr/>
      <w:tcPr>
        <w:tcBorders>
          <w:left w:val="nil"/>
          <w:right w:val="nil"/>
          <w:insideH w:val="nil"/>
          <w:insideV w:val="nil"/>
        </w:tcBorders>
        <w:shd w:val="clear" w:fill="FFFFFF"/>
      </w:tcPr>
    </w:tblStylePr>
    <w:tblStylePr w:type="band1Horz">
      <w:tblPr/>
      <w:tcPr>
        <w:shd w:val="clear"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fill="FFFFFF"/>
      </w:tcPr>
    </w:tblStylePr>
    <w:tblStylePr w:type="firstCol">
      <w:rPr>
        <w:b/>
        <w:bCs/>
        <w:color w:val="000000"/>
      </w:rPr>
      <w:tblPr/>
      <w:tcPr>
        <w:tcBorders>
          <w:top w:val="nil"/>
          <w:left w:val="nil"/>
          <w:bottom w:val="single" w:sz="18" w:space="0" w:color="auto"/>
          <w:right w:val="nil"/>
          <w:insideH w:val="nil"/>
          <w:insideV w:val="nil"/>
        </w:tcBorders>
        <w:shd w:val="clear" w:fill="FFFFFF"/>
      </w:tcPr>
    </w:tblStylePr>
    <w:tblStylePr w:type="lastCol">
      <w:rPr>
        <w:b/>
        <w:bCs/>
        <w:color w:val="000000"/>
      </w:rPr>
      <w:tblPr/>
      <w:tcPr>
        <w:tcBorders>
          <w:left w:val="nil"/>
          <w:right w:val="nil"/>
          <w:insideH w:val="nil"/>
          <w:insideV w:val="nil"/>
        </w:tcBorders>
        <w:shd w:val="clear" w:fill="FFFFFF"/>
      </w:tcPr>
    </w:tblStylePr>
    <w:tblStylePr w:type="band1Vert">
      <w:tblPr/>
      <w:tcPr>
        <w:tcBorders>
          <w:left w:val="nil"/>
          <w:right w:val="nil"/>
          <w:insideH w:val="nil"/>
          <w:insideV w:val="nil"/>
        </w:tcBorders>
        <w:shd w:val="clear" w:fill="FFFFFF"/>
      </w:tcPr>
    </w:tblStylePr>
    <w:tblStylePr w:type="band1Horz">
      <w:tblPr/>
      <w:tcPr>
        <w:shd w:val="clear"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fill="FFFFFF"/>
      </w:tcPr>
    </w:tblStylePr>
    <w:tblStylePr w:type="firstCol">
      <w:rPr>
        <w:b/>
        <w:bCs/>
        <w:color w:val="000000"/>
      </w:rPr>
      <w:tblPr/>
      <w:tcPr>
        <w:tcBorders>
          <w:top w:val="nil"/>
          <w:left w:val="nil"/>
          <w:bottom w:val="single" w:sz="18" w:space="0" w:color="auto"/>
          <w:right w:val="nil"/>
          <w:insideH w:val="nil"/>
          <w:insideV w:val="nil"/>
        </w:tcBorders>
        <w:shd w:val="clear" w:fill="FFFFFF"/>
      </w:tcPr>
    </w:tblStylePr>
    <w:tblStylePr w:type="lastCol">
      <w:rPr>
        <w:b/>
        <w:bCs/>
        <w:color w:val="000000"/>
      </w:rPr>
      <w:tblPr/>
      <w:tcPr>
        <w:tcBorders>
          <w:left w:val="nil"/>
          <w:right w:val="nil"/>
          <w:insideH w:val="nil"/>
          <w:insideV w:val="nil"/>
        </w:tcBorders>
        <w:shd w:val="clear" w:fill="FFFFFF"/>
      </w:tcPr>
    </w:tblStylePr>
    <w:tblStylePr w:type="band1Vert">
      <w:tblPr/>
      <w:tcPr>
        <w:tcBorders>
          <w:left w:val="nil"/>
          <w:right w:val="nil"/>
          <w:insideH w:val="nil"/>
          <w:insideV w:val="nil"/>
        </w:tcBorders>
        <w:shd w:val="clear" w:fill="FFFFFF"/>
      </w:tcPr>
    </w:tblStylePr>
    <w:tblStylePr w:type="band1Horz">
      <w:tblPr/>
      <w:tcPr>
        <w:shd w:val="clear"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fill="FFFFFF"/>
      </w:tcPr>
    </w:tblStylePr>
    <w:tblStylePr w:type="band1Horz">
      <w:tblPr/>
      <w:tcPr>
        <w:shd w:val="clear"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fill="FFFFFF"/>
      </w:tcPr>
    </w:tblStylePr>
    <w:tblStylePr w:type="band1Horz">
      <w:tblPr/>
      <w:tcPr>
        <w:shd w:val="clear"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fill="FFFFFF"/>
      </w:tcPr>
    </w:tblStylePr>
    <w:tblStylePr w:type="band1Horz">
      <w:tblPr/>
      <w:tcPr>
        <w:shd w:val="clear"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fill="FFFFFF"/>
      </w:tcPr>
    </w:tblStylePr>
    <w:tblStylePr w:type="band1Horz">
      <w:tblPr/>
      <w:tcPr>
        <w:shd w:val="clear"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fill="FFFFFF"/>
      </w:tcPr>
    </w:tblStylePr>
    <w:tblStylePr w:type="band1Horz">
      <w:tblPr/>
      <w:tcPr>
        <w:shd w:val="clear"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fill="FFFFFF"/>
      </w:tcPr>
    </w:tblStylePr>
    <w:tblStylePr w:type="band1Horz">
      <w:tblPr/>
      <w:tcPr>
        <w:shd w:val="clear"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fill="FFFFFF"/>
      </w:tcPr>
    </w:tblStylePr>
    <w:tblStylePr w:type="band1Horz">
      <w:tblPr/>
      <w:tcPr>
        <w:shd w:val="clear" w:fill="FFFFFF"/>
      </w:tcPr>
    </w:tblStylePr>
  </w:style>
  <w:style w:type="table" w:styleId="MediumList2">
    <w:name w:val="Medium List 2"/>
    <w:basedOn w:val="TableNormal"/>
    <w:uiPriority w:val="66"/>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fill="FFFFFF"/>
      </w:tcPr>
    </w:tblStylePr>
    <w:tblStylePr w:type="lastRow">
      <w:tblPr/>
      <w:tcPr>
        <w:tcBorders>
          <w:top w:val="single" w:sz="8" w:space="0" w:color="000000" w:themeColor="text1"/>
          <w:left w:val="nil"/>
          <w:bottom w:val="nil"/>
          <w:right w:val="nil"/>
          <w:insideH w:val="nil"/>
          <w:insideV w:val="nil"/>
        </w:tcBorders>
        <w:shd w:val="clear" w:fill="FFFFFF"/>
      </w:tcPr>
    </w:tblStylePr>
    <w:tblStylePr w:type="firstCol">
      <w:tblPr/>
      <w:tcPr>
        <w:tcBorders>
          <w:top w:val="nil"/>
          <w:left w:val="nil"/>
          <w:bottom w:val="nil"/>
          <w:right w:val="single" w:sz="8" w:space="0" w:color="000000" w:themeColor="text1"/>
          <w:insideH w:val="nil"/>
          <w:insideV w:val="nil"/>
        </w:tcBorders>
        <w:shd w:val="clear" w:fill="FFFFFF"/>
      </w:tcPr>
    </w:tblStylePr>
    <w:tblStylePr w:type="lastCol">
      <w:tblPr/>
      <w:tcPr>
        <w:tcBorders>
          <w:top w:val="nil"/>
          <w:left w:val="single" w:sz="8" w:space="0" w:color="000000" w:themeColor="text1"/>
          <w:bottom w:val="nil"/>
          <w:right w:val="nil"/>
          <w:insideH w:val="nil"/>
          <w:insideV w:val="nil"/>
        </w:tcBorders>
        <w:shd w:val="clear" w:fill="FFFFFF"/>
      </w:tcPr>
    </w:tblStylePr>
    <w:tblStylePr w:type="band1Vert">
      <w:tblPr/>
      <w:tcPr>
        <w:tcBorders>
          <w:left w:val="nil"/>
          <w:right w:val="nil"/>
          <w:insideH w:val="nil"/>
          <w:insideV w:val="nil"/>
        </w:tcBorders>
        <w:shd w:val="clear" w:fill="FFFFFF"/>
      </w:tcPr>
    </w:tblStylePr>
    <w:tblStylePr w:type="band1Horz">
      <w:tblPr/>
      <w:tcPr>
        <w:tcBorders>
          <w:top w:val="nil"/>
          <w:bottom w:val="nil"/>
          <w:insideH w:val="nil"/>
          <w:insideV w:val="nil"/>
        </w:tcBorders>
        <w:shd w:val="clear" w:fill="FFFFFF"/>
      </w:tcPr>
    </w:tblStylePr>
    <w:tblStylePr w:type="nwCell">
      <w:tblPr/>
      <w:tcPr>
        <w:shd w:val="clear"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fill="FFFFFF"/>
      </w:tcPr>
    </w:tblStylePr>
    <w:tblStylePr w:type="lastRow">
      <w:tblPr/>
      <w:tcPr>
        <w:tcBorders>
          <w:top w:val="single" w:sz="8" w:space="0" w:color="4F81BD" w:themeColor="accent1"/>
          <w:left w:val="nil"/>
          <w:bottom w:val="nil"/>
          <w:right w:val="nil"/>
          <w:insideH w:val="nil"/>
          <w:insideV w:val="nil"/>
        </w:tcBorders>
        <w:shd w:val="clear" w:fill="FFFFFF"/>
      </w:tcPr>
    </w:tblStylePr>
    <w:tblStylePr w:type="firstCol">
      <w:tblPr/>
      <w:tcPr>
        <w:tcBorders>
          <w:top w:val="nil"/>
          <w:left w:val="nil"/>
          <w:bottom w:val="nil"/>
          <w:right w:val="single" w:sz="8" w:space="0" w:color="4F81BD" w:themeColor="accent1"/>
          <w:insideH w:val="nil"/>
          <w:insideV w:val="nil"/>
        </w:tcBorders>
        <w:shd w:val="clear" w:fill="FFFFFF"/>
      </w:tcPr>
    </w:tblStylePr>
    <w:tblStylePr w:type="lastCol">
      <w:tblPr/>
      <w:tcPr>
        <w:tcBorders>
          <w:top w:val="nil"/>
          <w:left w:val="single" w:sz="8" w:space="0" w:color="4F81BD" w:themeColor="accent1"/>
          <w:bottom w:val="nil"/>
          <w:right w:val="nil"/>
          <w:insideH w:val="nil"/>
          <w:insideV w:val="nil"/>
        </w:tcBorders>
        <w:shd w:val="clear" w:fill="FFFFFF"/>
      </w:tcPr>
    </w:tblStylePr>
    <w:tblStylePr w:type="band1Vert">
      <w:tblPr/>
      <w:tcPr>
        <w:tcBorders>
          <w:left w:val="nil"/>
          <w:right w:val="nil"/>
          <w:insideH w:val="nil"/>
          <w:insideV w:val="nil"/>
        </w:tcBorders>
        <w:shd w:val="clear" w:fill="FFFFFF"/>
      </w:tcPr>
    </w:tblStylePr>
    <w:tblStylePr w:type="band1Horz">
      <w:tblPr/>
      <w:tcPr>
        <w:tcBorders>
          <w:top w:val="nil"/>
          <w:bottom w:val="nil"/>
          <w:insideH w:val="nil"/>
          <w:insideV w:val="nil"/>
        </w:tcBorders>
        <w:shd w:val="clear" w:fill="FFFFFF"/>
      </w:tcPr>
    </w:tblStylePr>
    <w:tblStylePr w:type="nwCell">
      <w:tblPr/>
      <w:tcPr>
        <w:shd w:val="clear"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fill="FFFFFF"/>
      </w:tcPr>
    </w:tblStylePr>
    <w:tblStylePr w:type="lastRow">
      <w:tblPr/>
      <w:tcPr>
        <w:tcBorders>
          <w:top w:val="single" w:sz="8" w:space="0" w:color="C0504D" w:themeColor="accent2"/>
          <w:left w:val="nil"/>
          <w:bottom w:val="nil"/>
          <w:right w:val="nil"/>
          <w:insideH w:val="nil"/>
          <w:insideV w:val="nil"/>
        </w:tcBorders>
        <w:shd w:val="clear" w:fill="FFFFFF"/>
      </w:tcPr>
    </w:tblStylePr>
    <w:tblStylePr w:type="firstCol">
      <w:tblPr/>
      <w:tcPr>
        <w:tcBorders>
          <w:top w:val="nil"/>
          <w:left w:val="nil"/>
          <w:bottom w:val="nil"/>
          <w:right w:val="single" w:sz="8" w:space="0" w:color="C0504D" w:themeColor="accent2"/>
          <w:insideH w:val="nil"/>
          <w:insideV w:val="nil"/>
        </w:tcBorders>
        <w:shd w:val="clear" w:fill="FFFFFF"/>
      </w:tcPr>
    </w:tblStylePr>
    <w:tblStylePr w:type="lastCol">
      <w:tblPr/>
      <w:tcPr>
        <w:tcBorders>
          <w:top w:val="nil"/>
          <w:left w:val="single" w:sz="8" w:space="0" w:color="C0504D" w:themeColor="accent2"/>
          <w:bottom w:val="nil"/>
          <w:right w:val="nil"/>
          <w:insideH w:val="nil"/>
          <w:insideV w:val="nil"/>
        </w:tcBorders>
        <w:shd w:val="clear" w:fill="FFFFFF"/>
      </w:tcPr>
    </w:tblStylePr>
    <w:tblStylePr w:type="band1Vert">
      <w:tblPr/>
      <w:tcPr>
        <w:tcBorders>
          <w:left w:val="nil"/>
          <w:right w:val="nil"/>
          <w:insideH w:val="nil"/>
          <w:insideV w:val="nil"/>
        </w:tcBorders>
        <w:shd w:val="clear" w:fill="FFFFFF"/>
      </w:tcPr>
    </w:tblStylePr>
    <w:tblStylePr w:type="band1Horz">
      <w:tblPr/>
      <w:tcPr>
        <w:tcBorders>
          <w:top w:val="nil"/>
          <w:bottom w:val="nil"/>
          <w:insideH w:val="nil"/>
          <w:insideV w:val="nil"/>
        </w:tcBorders>
        <w:shd w:val="clear" w:fill="FFFFFF"/>
      </w:tcPr>
    </w:tblStylePr>
    <w:tblStylePr w:type="nwCell">
      <w:tblPr/>
      <w:tcPr>
        <w:shd w:val="clear"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fill="FFFFFF"/>
      </w:tcPr>
    </w:tblStylePr>
    <w:tblStylePr w:type="lastRow">
      <w:tblPr/>
      <w:tcPr>
        <w:tcBorders>
          <w:top w:val="single" w:sz="8" w:space="0" w:color="9BBB59" w:themeColor="accent3"/>
          <w:left w:val="nil"/>
          <w:bottom w:val="nil"/>
          <w:right w:val="nil"/>
          <w:insideH w:val="nil"/>
          <w:insideV w:val="nil"/>
        </w:tcBorders>
        <w:shd w:val="clear" w:fill="FFFFFF"/>
      </w:tcPr>
    </w:tblStylePr>
    <w:tblStylePr w:type="firstCol">
      <w:tblPr/>
      <w:tcPr>
        <w:tcBorders>
          <w:top w:val="nil"/>
          <w:left w:val="nil"/>
          <w:bottom w:val="nil"/>
          <w:right w:val="single" w:sz="8" w:space="0" w:color="9BBB59" w:themeColor="accent3"/>
          <w:insideH w:val="nil"/>
          <w:insideV w:val="nil"/>
        </w:tcBorders>
        <w:shd w:val="clear" w:fill="FFFFFF"/>
      </w:tcPr>
    </w:tblStylePr>
    <w:tblStylePr w:type="lastCol">
      <w:tblPr/>
      <w:tcPr>
        <w:tcBorders>
          <w:top w:val="nil"/>
          <w:left w:val="single" w:sz="8" w:space="0" w:color="9BBB59" w:themeColor="accent3"/>
          <w:bottom w:val="nil"/>
          <w:right w:val="nil"/>
          <w:insideH w:val="nil"/>
          <w:insideV w:val="nil"/>
        </w:tcBorders>
        <w:shd w:val="clear" w:fill="FFFFFF"/>
      </w:tcPr>
    </w:tblStylePr>
    <w:tblStylePr w:type="band1Vert">
      <w:tblPr/>
      <w:tcPr>
        <w:tcBorders>
          <w:left w:val="nil"/>
          <w:right w:val="nil"/>
          <w:insideH w:val="nil"/>
          <w:insideV w:val="nil"/>
        </w:tcBorders>
        <w:shd w:val="clear" w:fill="FFFFFF"/>
      </w:tcPr>
    </w:tblStylePr>
    <w:tblStylePr w:type="band1Horz">
      <w:tblPr/>
      <w:tcPr>
        <w:tcBorders>
          <w:top w:val="nil"/>
          <w:bottom w:val="nil"/>
          <w:insideH w:val="nil"/>
          <w:insideV w:val="nil"/>
        </w:tcBorders>
        <w:shd w:val="clear" w:fill="FFFFFF"/>
      </w:tcPr>
    </w:tblStylePr>
    <w:tblStylePr w:type="nwCell">
      <w:tblPr/>
      <w:tcPr>
        <w:shd w:val="clear"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fill="FFFFFF"/>
      </w:tcPr>
    </w:tblStylePr>
    <w:tblStylePr w:type="lastRow">
      <w:tblPr/>
      <w:tcPr>
        <w:tcBorders>
          <w:top w:val="single" w:sz="8" w:space="0" w:color="8064A2" w:themeColor="accent4"/>
          <w:left w:val="nil"/>
          <w:bottom w:val="nil"/>
          <w:right w:val="nil"/>
          <w:insideH w:val="nil"/>
          <w:insideV w:val="nil"/>
        </w:tcBorders>
        <w:shd w:val="clear" w:fill="FFFFFF"/>
      </w:tcPr>
    </w:tblStylePr>
    <w:tblStylePr w:type="firstCol">
      <w:tblPr/>
      <w:tcPr>
        <w:tcBorders>
          <w:top w:val="nil"/>
          <w:left w:val="nil"/>
          <w:bottom w:val="nil"/>
          <w:right w:val="single" w:sz="8" w:space="0" w:color="8064A2" w:themeColor="accent4"/>
          <w:insideH w:val="nil"/>
          <w:insideV w:val="nil"/>
        </w:tcBorders>
        <w:shd w:val="clear" w:fill="FFFFFF"/>
      </w:tcPr>
    </w:tblStylePr>
    <w:tblStylePr w:type="lastCol">
      <w:tblPr/>
      <w:tcPr>
        <w:tcBorders>
          <w:top w:val="nil"/>
          <w:left w:val="single" w:sz="8" w:space="0" w:color="8064A2" w:themeColor="accent4"/>
          <w:bottom w:val="nil"/>
          <w:right w:val="nil"/>
          <w:insideH w:val="nil"/>
          <w:insideV w:val="nil"/>
        </w:tcBorders>
        <w:shd w:val="clear" w:fill="FFFFFF"/>
      </w:tcPr>
    </w:tblStylePr>
    <w:tblStylePr w:type="band1Vert">
      <w:tblPr/>
      <w:tcPr>
        <w:tcBorders>
          <w:left w:val="nil"/>
          <w:right w:val="nil"/>
          <w:insideH w:val="nil"/>
          <w:insideV w:val="nil"/>
        </w:tcBorders>
        <w:shd w:val="clear" w:fill="FFFFFF"/>
      </w:tcPr>
    </w:tblStylePr>
    <w:tblStylePr w:type="band1Horz">
      <w:tblPr/>
      <w:tcPr>
        <w:tcBorders>
          <w:top w:val="nil"/>
          <w:bottom w:val="nil"/>
          <w:insideH w:val="nil"/>
          <w:insideV w:val="nil"/>
        </w:tcBorders>
        <w:shd w:val="clear" w:fill="FFFFFF"/>
      </w:tcPr>
    </w:tblStylePr>
    <w:tblStylePr w:type="nwCell">
      <w:tblPr/>
      <w:tcPr>
        <w:shd w:val="clear"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fill="FFFFFF"/>
      </w:tcPr>
    </w:tblStylePr>
    <w:tblStylePr w:type="lastRow">
      <w:tblPr/>
      <w:tcPr>
        <w:tcBorders>
          <w:top w:val="single" w:sz="8" w:space="0" w:color="4BACC6" w:themeColor="accent5"/>
          <w:left w:val="nil"/>
          <w:bottom w:val="nil"/>
          <w:right w:val="nil"/>
          <w:insideH w:val="nil"/>
          <w:insideV w:val="nil"/>
        </w:tcBorders>
        <w:shd w:val="clear" w:fill="FFFFFF"/>
      </w:tcPr>
    </w:tblStylePr>
    <w:tblStylePr w:type="firstCol">
      <w:tblPr/>
      <w:tcPr>
        <w:tcBorders>
          <w:top w:val="nil"/>
          <w:left w:val="nil"/>
          <w:bottom w:val="nil"/>
          <w:right w:val="single" w:sz="8" w:space="0" w:color="4BACC6" w:themeColor="accent5"/>
          <w:insideH w:val="nil"/>
          <w:insideV w:val="nil"/>
        </w:tcBorders>
        <w:shd w:val="clear" w:fill="FFFFFF"/>
      </w:tcPr>
    </w:tblStylePr>
    <w:tblStylePr w:type="lastCol">
      <w:tblPr/>
      <w:tcPr>
        <w:tcBorders>
          <w:top w:val="nil"/>
          <w:left w:val="single" w:sz="8" w:space="0" w:color="4BACC6" w:themeColor="accent5"/>
          <w:bottom w:val="nil"/>
          <w:right w:val="nil"/>
          <w:insideH w:val="nil"/>
          <w:insideV w:val="nil"/>
        </w:tcBorders>
        <w:shd w:val="clear" w:fill="FFFFFF"/>
      </w:tcPr>
    </w:tblStylePr>
    <w:tblStylePr w:type="band1Vert">
      <w:tblPr/>
      <w:tcPr>
        <w:tcBorders>
          <w:left w:val="nil"/>
          <w:right w:val="nil"/>
          <w:insideH w:val="nil"/>
          <w:insideV w:val="nil"/>
        </w:tcBorders>
        <w:shd w:val="clear" w:fill="FFFFFF"/>
      </w:tcPr>
    </w:tblStylePr>
    <w:tblStylePr w:type="band1Horz">
      <w:tblPr/>
      <w:tcPr>
        <w:tcBorders>
          <w:top w:val="nil"/>
          <w:bottom w:val="nil"/>
          <w:insideH w:val="nil"/>
          <w:insideV w:val="nil"/>
        </w:tcBorders>
        <w:shd w:val="clear" w:fill="FFFFFF"/>
      </w:tcPr>
    </w:tblStylePr>
    <w:tblStylePr w:type="nwCell">
      <w:tblPr/>
      <w:tcPr>
        <w:shd w:val="clear"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fill="FFFFFF"/>
      </w:tcPr>
    </w:tblStylePr>
    <w:tblStylePr w:type="lastRow">
      <w:tblPr/>
      <w:tcPr>
        <w:tcBorders>
          <w:top w:val="single" w:sz="8" w:space="0" w:color="F79646" w:themeColor="accent6"/>
          <w:left w:val="nil"/>
          <w:bottom w:val="nil"/>
          <w:right w:val="nil"/>
          <w:insideH w:val="nil"/>
          <w:insideV w:val="nil"/>
        </w:tcBorders>
        <w:shd w:val="clear" w:fill="FFFFFF"/>
      </w:tcPr>
    </w:tblStylePr>
    <w:tblStylePr w:type="firstCol">
      <w:tblPr/>
      <w:tcPr>
        <w:tcBorders>
          <w:top w:val="nil"/>
          <w:left w:val="nil"/>
          <w:bottom w:val="nil"/>
          <w:right w:val="single" w:sz="8" w:space="0" w:color="F79646" w:themeColor="accent6"/>
          <w:insideH w:val="nil"/>
          <w:insideV w:val="nil"/>
        </w:tcBorders>
        <w:shd w:val="clear" w:fill="FFFFFF"/>
      </w:tcPr>
    </w:tblStylePr>
    <w:tblStylePr w:type="lastCol">
      <w:tblPr/>
      <w:tcPr>
        <w:tcBorders>
          <w:top w:val="nil"/>
          <w:left w:val="single" w:sz="8" w:space="0" w:color="F79646" w:themeColor="accent6"/>
          <w:bottom w:val="nil"/>
          <w:right w:val="nil"/>
          <w:insideH w:val="nil"/>
          <w:insideV w:val="nil"/>
        </w:tcBorders>
        <w:shd w:val="clear" w:fill="FFFFFF"/>
      </w:tcPr>
    </w:tblStylePr>
    <w:tblStylePr w:type="band1Vert">
      <w:tblPr/>
      <w:tcPr>
        <w:tcBorders>
          <w:left w:val="nil"/>
          <w:right w:val="nil"/>
          <w:insideH w:val="nil"/>
          <w:insideV w:val="nil"/>
        </w:tcBorders>
        <w:shd w:val="clear" w:fill="FFFFFF"/>
      </w:tcPr>
    </w:tblStylePr>
    <w:tblStylePr w:type="band1Horz">
      <w:tblPr/>
      <w:tcPr>
        <w:tcBorders>
          <w:top w:val="nil"/>
          <w:bottom w:val="nil"/>
          <w:insideH w:val="nil"/>
          <w:insideV w:val="nil"/>
        </w:tcBorders>
        <w:shd w:val="clear" w:fill="FFFFFF"/>
      </w:tcPr>
    </w:tblStylePr>
    <w:tblStylePr w:type="nwCell">
      <w:tblPr/>
      <w:tcPr>
        <w:shd w:val="clear"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fill="FFFFF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fill="FFFFFF"/>
      </w:tcPr>
    </w:tblStylePr>
    <w:tblStylePr w:type="band1Horz">
      <w:tblPr/>
      <w:tcPr>
        <w:shd w:val="clear"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fill="FFFFF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fill="FFFFFF"/>
      </w:tcPr>
    </w:tblStylePr>
    <w:tblStylePr w:type="band1Horz">
      <w:tblPr/>
      <w:tcPr>
        <w:shd w:val="clear"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fill="FFFFF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fill="FFFFFF"/>
      </w:tcPr>
    </w:tblStylePr>
    <w:tblStylePr w:type="band1Horz">
      <w:tblPr/>
      <w:tcPr>
        <w:shd w:val="clear"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fill="FFFFF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fill="FFFFFF"/>
      </w:tcPr>
    </w:tblStylePr>
    <w:tblStylePr w:type="band1Horz">
      <w:tblPr/>
      <w:tcPr>
        <w:shd w:val="clear"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fill="FFFFF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fill="FFFFFF"/>
      </w:tcPr>
    </w:tblStylePr>
    <w:tblStylePr w:type="band1Horz">
      <w:tblPr/>
      <w:tcPr>
        <w:shd w:val="clear"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fill="FFFFF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fill="FFFFFF"/>
      </w:tcPr>
    </w:tblStylePr>
    <w:tblStylePr w:type="band1Horz">
      <w:tblPr/>
      <w:tcPr>
        <w:shd w:val="clear"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fill="FFFFF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fill="FFFFFF"/>
      </w:tcPr>
    </w:tblStylePr>
    <w:tblStylePr w:type="band1Horz">
      <w:tblPr/>
      <w:tcPr>
        <w:shd w:val="clear" w:fill="FFFFFF"/>
      </w:tcPr>
    </w:tblStylePr>
  </w:style>
  <w:style w:type="table" w:styleId="MediumGrid2">
    <w:name w:val="Medium Grid 2"/>
    <w:basedOn w:val="TableNormal"/>
    <w:uiPriority w:val="68"/>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fill="FFFFFF"/>
    </w:tcPr>
    <w:tblStylePr w:type="firstRow">
      <w:rPr>
        <w:b/>
        <w:bCs/>
        <w:color w:val="000000"/>
      </w:rPr>
      <w:tblPr/>
      <w:tcPr>
        <w:shd w:val="clear"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fill="FFFFFF"/>
      </w:tcPr>
    </w:tblStylePr>
    <w:tblStylePr w:type="firstCol">
      <w:rPr>
        <w:b/>
        <w:bCs/>
        <w:color w:val="000000"/>
      </w:rPr>
      <w:tblPr/>
      <w:tcPr>
        <w:tcBorders>
          <w:top w:val="nil"/>
          <w:left w:val="nil"/>
          <w:bottom w:val="nil"/>
          <w:right w:val="nil"/>
          <w:insideH w:val="nil"/>
          <w:insideV w:val="nil"/>
        </w:tcBorders>
        <w:shd w:val="clear" w:fill="FFFFFF"/>
      </w:tcPr>
    </w:tblStylePr>
    <w:tblStylePr w:type="lastCol">
      <w:rPr>
        <w:b w:val="0"/>
        <w:bCs w:val="0"/>
        <w:color w:val="000000"/>
      </w:rPr>
      <w:tblPr/>
      <w:tcPr>
        <w:tcBorders>
          <w:top w:val="nil"/>
          <w:left w:val="nil"/>
          <w:bottom w:val="nil"/>
          <w:right w:val="nil"/>
          <w:insideH w:val="nil"/>
          <w:insideV w:val="nil"/>
        </w:tcBorders>
        <w:shd w:val="clear" w:fill="FFFFFF"/>
      </w:tcPr>
    </w:tblStylePr>
    <w:tblStylePr w:type="band1Vert">
      <w:tblPr/>
      <w:tcPr>
        <w:shd w:val="clear" w:fill="FFFFFF"/>
      </w:tcPr>
    </w:tblStylePr>
    <w:tblStylePr w:type="band1Horz">
      <w:tblPr/>
      <w:tcPr>
        <w:tcBorders>
          <w:insideH w:val="single" w:sz="6" w:space="0" w:color="000000" w:themeColor="text1"/>
          <w:insideV w:val="single" w:sz="6" w:space="0" w:color="000000" w:themeColor="text1"/>
        </w:tcBorders>
        <w:shd w:val="clear" w:fill="FFFFFF"/>
      </w:tcPr>
    </w:tblStylePr>
    <w:tblStylePr w:type="nwCell">
      <w:tblPr/>
      <w:tcPr>
        <w:shd w:val="clear" w:fill="FFFFFF"/>
      </w:tcPr>
    </w:tblStylePr>
  </w:style>
  <w:style w:type="table" w:styleId="MediumGrid2-Accent1">
    <w:name w:val="Medium Grid 2 Accent 1"/>
    <w:basedOn w:val="TableNormal"/>
    <w:uiPriority w:val="68"/>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fill="FFFFFF"/>
    </w:tcPr>
    <w:tblStylePr w:type="firstRow">
      <w:rPr>
        <w:b/>
        <w:bCs/>
        <w:color w:val="000000"/>
      </w:rPr>
      <w:tblPr/>
      <w:tcPr>
        <w:shd w:val="clear"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fill="FFFFFF"/>
      </w:tcPr>
    </w:tblStylePr>
    <w:tblStylePr w:type="firstCol">
      <w:rPr>
        <w:b/>
        <w:bCs/>
        <w:color w:val="000000"/>
      </w:rPr>
      <w:tblPr/>
      <w:tcPr>
        <w:tcBorders>
          <w:top w:val="nil"/>
          <w:left w:val="nil"/>
          <w:bottom w:val="nil"/>
          <w:right w:val="nil"/>
          <w:insideH w:val="nil"/>
          <w:insideV w:val="nil"/>
        </w:tcBorders>
        <w:shd w:val="clear" w:fill="FFFFFF"/>
      </w:tcPr>
    </w:tblStylePr>
    <w:tblStylePr w:type="lastCol">
      <w:rPr>
        <w:b w:val="0"/>
        <w:bCs w:val="0"/>
        <w:color w:val="000000"/>
      </w:rPr>
      <w:tblPr/>
      <w:tcPr>
        <w:tcBorders>
          <w:top w:val="nil"/>
          <w:left w:val="nil"/>
          <w:bottom w:val="nil"/>
          <w:right w:val="nil"/>
          <w:insideH w:val="nil"/>
          <w:insideV w:val="nil"/>
        </w:tcBorders>
        <w:shd w:val="clear" w:fill="FFFFFF"/>
      </w:tcPr>
    </w:tblStylePr>
    <w:tblStylePr w:type="band1Vert">
      <w:tblPr/>
      <w:tcPr>
        <w:shd w:val="clear" w:fill="FFFFFF"/>
      </w:tcPr>
    </w:tblStylePr>
    <w:tblStylePr w:type="band1Horz">
      <w:tblPr/>
      <w:tcPr>
        <w:tcBorders>
          <w:insideH w:val="single" w:sz="6" w:space="0" w:color="4F81BD" w:themeColor="accent1"/>
          <w:insideV w:val="single" w:sz="6" w:space="0" w:color="4F81BD" w:themeColor="accent1"/>
        </w:tcBorders>
        <w:shd w:val="clear" w:fill="FFFFFF"/>
      </w:tcPr>
    </w:tblStylePr>
    <w:tblStylePr w:type="nwCell">
      <w:tblPr/>
      <w:tcPr>
        <w:shd w:val="clear" w:fill="FFFFFF"/>
      </w:tcPr>
    </w:tblStylePr>
  </w:style>
  <w:style w:type="table" w:styleId="MediumGrid2-Accent2">
    <w:name w:val="Medium Grid 2 Accent 2"/>
    <w:basedOn w:val="TableNormal"/>
    <w:uiPriority w:val="68"/>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fill="FFFFFF"/>
    </w:tcPr>
    <w:tblStylePr w:type="firstRow">
      <w:rPr>
        <w:b/>
        <w:bCs/>
        <w:color w:val="000000"/>
      </w:rPr>
      <w:tblPr/>
      <w:tcPr>
        <w:shd w:val="clear"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fill="FFFFFF"/>
      </w:tcPr>
    </w:tblStylePr>
    <w:tblStylePr w:type="firstCol">
      <w:rPr>
        <w:b/>
        <w:bCs/>
        <w:color w:val="000000"/>
      </w:rPr>
      <w:tblPr/>
      <w:tcPr>
        <w:tcBorders>
          <w:top w:val="nil"/>
          <w:left w:val="nil"/>
          <w:bottom w:val="nil"/>
          <w:right w:val="nil"/>
          <w:insideH w:val="nil"/>
          <w:insideV w:val="nil"/>
        </w:tcBorders>
        <w:shd w:val="clear" w:fill="FFFFFF"/>
      </w:tcPr>
    </w:tblStylePr>
    <w:tblStylePr w:type="lastCol">
      <w:rPr>
        <w:b w:val="0"/>
        <w:bCs w:val="0"/>
        <w:color w:val="000000"/>
      </w:rPr>
      <w:tblPr/>
      <w:tcPr>
        <w:tcBorders>
          <w:top w:val="nil"/>
          <w:left w:val="nil"/>
          <w:bottom w:val="nil"/>
          <w:right w:val="nil"/>
          <w:insideH w:val="nil"/>
          <w:insideV w:val="nil"/>
        </w:tcBorders>
        <w:shd w:val="clear" w:fill="FFFFFF"/>
      </w:tcPr>
    </w:tblStylePr>
    <w:tblStylePr w:type="band1Vert">
      <w:tblPr/>
      <w:tcPr>
        <w:shd w:val="clear" w:fill="FFFFFF"/>
      </w:tcPr>
    </w:tblStylePr>
    <w:tblStylePr w:type="band1Horz">
      <w:tblPr/>
      <w:tcPr>
        <w:tcBorders>
          <w:insideH w:val="single" w:sz="6" w:space="0" w:color="C0504D" w:themeColor="accent2"/>
          <w:insideV w:val="single" w:sz="6" w:space="0" w:color="C0504D" w:themeColor="accent2"/>
        </w:tcBorders>
        <w:shd w:val="clear" w:fill="FFFFFF"/>
      </w:tcPr>
    </w:tblStylePr>
    <w:tblStylePr w:type="nwCell">
      <w:tblPr/>
      <w:tcPr>
        <w:shd w:val="clear" w:fill="FFFFFF"/>
      </w:tcPr>
    </w:tblStylePr>
  </w:style>
  <w:style w:type="table" w:styleId="MediumGrid2-Accent3">
    <w:name w:val="Medium Grid 2 Accent 3"/>
    <w:basedOn w:val="TableNormal"/>
    <w:uiPriority w:val="68"/>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fill="FFFFFF"/>
    </w:tcPr>
    <w:tblStylePr w:type="firstRow">
      <w:rPr>
        <w:b/>
        <w:bCs/>
        <w:color w:val="000000"/>
      </w:rPr>
      <w:tblPr/>
      <w:tcPr>
        <w:shd w:val="clear"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fill="FFFFFF"/>
      </w:tcPr>
    </w:tblStylePr>
    <w:tblStylePr w:type="firstCol">
      <w:rPr>
        <w:b/>
        <w:bCs/>
        <w:color w:val="000000"/>
      </w:rPr>
      <w:tblPr/>
      <w:tcPr>
        <w:tcBorders>
          <w:top w:val="nil"/>
          <w:left w:val="nil"/>
          <w:bottom w:val="nil"/>
          <w:right w:val="nil"/>
          <w:insideH w:val="nil"/>
          <w:insideV w:val="nil"/>
        </w:tcBorders>
        <w:shd w:val="clear" w:fill="FFFFFF"/>
      </w:tcPr>
    </w:tblStylePr>
    <w:tblStylePr w:type="lastCol">
      <w:rPr>
        <w:b w:val="0"/>
        <w:bCs w:val="0"/>
        <w:color w:val="000000"/>
      </w:rPr>
      <w:tblPr/>
      <w:tcPr>
        <w:tcBorders>
          <w:top w:val="nil"/>
          <w:left w:val="nil"/>
          <w:bottom w:val="nil"/>
          <w:right w:val="nil"/>
          <w:insideH w:val="nil"/>
          <w:insideV w:val="nil"/>
        </w:tcBorders>
        <w:shd w:val="clear" w:fill="FFFFFF"/>
      </w:tcPr>
    </w:tblStylePr>
    <w:tblStylePr w:type="band1Vert">
      <w:tblPr/>
      <w:tcPr>
        <w:shd w:val="clear" w:fill="FFFFFF"/>
      </w:tcPr>
    </w:tblStylePr>
    <w:tblStylePr w:type="band1Horz">
      <w:tblPr/>
      <w:tcPr>
        <w:tcBorders>
          <w:insideH w:val="single" w:sz="6" w:space="0" w:color="9BBB59" w:themeColor="accent3"/>
          <w:insideV w:val="single" w:sz="6" w:space="0" w:color="9BBB59" w:themeColor="accent3"/>
        </w:tcBorders>
        <w:shd w:val="clear" w:fill="FFFFFF"/>
      </w:tcPr>
    </w:tblStylePr>
    <w:tblStylePr w:type="nwCell">
      <w:tblPr/>
      <w:tcPr>
        <w:shd w:val="clear" w:fill="FFFFFF"/>
      </w:tcPr>
    </w:tblStylePr>
  </w:style>
  <w:style w:type="table" w:styleId="MediumGrid2-Accent4">
    <w:name w:val="Medium Grid 2 Accent 4"/>
    <w:basedOn w:val="TableNormal"/>
    <w:uiPriority w:val="68"/>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fill="FFFFFF"/>
    </w:tcPr>
    <w:tblStylePr w:type="firstRow">
      <w:rPr>
        <w:b/>
        <w:bCs/>
        <w:color w:val="000000"/>
      </w:rPr>
      <w:tblPr/>
      <w:tcPr>
        <w:shd w:val="clear"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fill="FFFFFF"/>
      </w:tcPr>
    </w:tblStylePr>
    <w:tblStylePr w:type="firstCol">
      <w:rPr>
        <w:b/>
        <w:bCs/>
        <w:color w:val="000000"/>
      </w:rPr>
      <w:tblPr/>
      <w:tcPr>
        <w:tcBorders>
          <w:top w:val="nil"/>
          <w:left w:val="nil"/>
          <w:bottom w:val="nil"/>
          <w:right w:val="nil"/>
          <w:insideH w:val="nil"/>
          <w:insideV w:val="nil"/>
        </w:tcBorders>
        <w:shd w:val="clear" w:fill="FFFFFF"/>
      </w:tcPr>
    </w:tblStylePr>
    <w:tblStylePr w:type="lastCol">
      <w:rPr>
        <w:b w:val="0"/>
        <w:bCs w:val="0"/>
        <w:color w:val="000000"/>
      </w:rPr>
      <w:tblPr/>
      <w:tcPr>
        <w:tcBorders>
          <w:top w:val="nil"/>
          <w:left w:val="nil"/>
          <w:bottom w:val="nil"/>
          <w:right w:val="nil"/>
          <w:insideH w:val="nil"/>
          <w:insideV w:val="nil"/>
        </w:tcBorders>
        <w:shd w:val="clear" w:fill="FFFFFF"/>
      </w:tcPr>
    </w:tblStylePr>
    <w:tblStylePr w:type="band1Vert">
      <w:tblPr/>
      <w:tcPr>
        <w:shd w:val="clear" w:fill="FFFFFF"/>
      </w:tcPr>
    </w:tblStylePr>
    <w:tblStylePr w:type="band1Horz">
      <w:tblPr/>
      <w:tcPr>
        <w:tcBorders>
          <w:insideH w:val="single" w:sz="6" w:space="0" w:color="8064A2" w:themeColor="accent4"/>
          <w:insideV w:val="single" w:sz="6" w:space="0" w:color="8064A2" w:themeColor="accent4"/>
        </w:tcBorders>
        <w:shd w:val="clear" w:fill="FFFFFF"/>
      </w:tcPr>
    </w:tblStylePr>
    <w:tblStylePr w:type="nwCell">
      <w:tblPr/>
      <w:tcPr>
        <w:shd w:val="clear" w:fill="FFFFFF"/>
      </w:tcPr>
    </w:tblStylePr>
  </w:style>
  <w:style w:type="table" w:styleId="MediumGrid2-Accent5">
    <w:name w:val="Medium Grid 2 Accent 5"/>
    <w:basedOn w:val="TableNormal"/>
    <w:uiPriority w:val="68"/>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fill="FFFFFF"/>
    </w:tcPr>
    <w:tblStylePr w:type="firstRow">
      <w:rPr>
        <w:b/>
        <w:bCs/>
        <w:color w:val="000000"/>
      </w:rPr>
      <w:tblPr/>
      <w:tcPr>
        <w:shd w:val="clear"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fill="FFFFFF"/>
      </w:tcPr>
    </w:tblStylePr>
    <w:tblStylePr w:type="firstCol">
      <w:rPr>
        <w:b/>
        <w:bCs/>
        <w:color w:val="000000"/>
      </w:rPr>
      <w:tblPr/>
      <w:tcPr>
        <w:tcBorders>
          <w:top w:val="nil"/>
          <w:left w:val="nil"/>
          <w:bottom w:val="nil"/>
          <w:right w:val="nil"/>
          <w:insideH w:val="nil"/>
          <w:insideV w:val="nil"/>
        </w:tcBorders>
        <w:shd w:val="clear" w:fill="FFFFFF"/>
      </w:tcPr>
    </w:tblStylePr>
    <w:tblStylePr w:type="lastCol">
      <w:rPr>
        <w:b w:val="0"/>
        <w:bCs w:val="0"/>
        <w:color w:val="000000"/>
      </w:rPr>
      <w:tblPr/>
      <w:tcPr>
        <w:tcBorders>
          <w:top w:val="nil"/>
          <w:left w:val="nil"/>
          <w:bottom w:val="nil"/>
          <w:right w:val="nil"/>
          <w:insideH w:val="nil"/>
          <w:insideV w:val="nil"/>
        </w:tcBorders>
        <w:shd w:val="clear" w:fill="FFFFFF"/>
      </w:tcPr>
    </w:tblStylePr>
    <w:tblStylePr w:type="band1Vert">
      <w:tblPr/>
      <w:tcPr>
        <w:shd w:val="clear" w:fill="FFFFFF"/>
      </w:tcPr>
    </w:tblStylePr>
    <w:tblStylePr w:type="band1Horz">
      <w:tblPr/>
      <w:tcPr>
        <w:tcBorders>
          <w:insideH w:val="single" w:sz="6" w:space="0" w:color="4BACC6" w:themeColor="accent5"/>
          <w:insideV w:val="single" w:sz="6" w:space="0" w:color="4BACC6" w:themeColor="accent5"/>
        </w:tcBorders>
        <w:shd w:val="clear" w:fill="FFFFFF"/>
      </w:tcPr>
    </w:tblStylePr>
    <w:tblStylePr w:type="nwCell">
      <w:tblPr/>
      <w:tcPr>
        <w:shd w:val="clear" w:fill="FFFFFF"/>
      </w:tcPr>
    </w:tblStylePr>
  </w:style>
  <w:style w:type="table" w:styleId="MediumGrid2-Accent6">
    <w:name w:val="Medium Grid 2 Accent 6"/>
    <w:basedOn w:val="TableNormal"/>
    <w:uiPriority w:val="68"/>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fill="FFFFFF"/>
    </w:tcPr>
    <w:tblStylePr w:type="firstRow">
      <w:rPr>
        <w:b/>
        <w:bCs/>
        <w:color w:val="000000"/>
      </w:rPr>
      <w:tblPr/>
      <w:tcPr>
        <w:shd w:val="clear"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fill="FFFFFF"/>
      </w:tcPr>
    </w:tblStylePr>
    <w:tblStylePr w:type="firstCol">
      <w:rPr>
        <w:b/>
        <w:bCs/>
        <w:color w:val="000000"/>
      </w:rPr>
      <w:tblPr/>
      <w:tcPr>
        <w:tcBorders>
          <w:top w:val="nil"/>
          <w:left w:val="nil"/>
          <w:bottom w:val="nil"/>
          <w:right w:val="nil"/>
          <w:insideH w:val="nil"/>
          <w:insideV w:val="nil"/>
        </w:tcBorders>
        <w:shd w:val="clear" w:fill="FFFFFF"/>
      </w:tcPr>
    </w:tblStylePr>
    <w:tblStylePr w:type="lastCol">
      <w:rPr>
        <w:b w:val="0"/>
        <w:bCs w:val="0"/>
        <w:color w:val="000000"/>
      </w:rPr>
      <w:tblPr/>
      <w:tcPr>
        <w:tcBorders>
          <w:top w:val="nil"/>
          <w:left w:val="nil"/>
          <w:bottom w:val="nil"/>
          <w:right w:val="nil"/>
          <w:insideH w:val="nil"/>
          <w:insideV w:val="nil"/>
        </w:tcBorders>
        <w:shd w:val="clear" w:fill="FFFFFF"/>
      </w:tcPr>
    </w:tblStylePr>
    <w:tblStylePr w:type="band1Vert">
      <w:tblPr/>
      <w:tcPr>
        <w:shd w:val="clear" w:fill="FFFFFF"/>
      </w:tcPr>
    </w:tblStylePr>
    <w:tblStylePr w:type="band1Horz">
      <w:tblPr/>
      <w:tcPr>
        <w:tcBorders>
          <w:insideH w:val="single" w:sz="6" w:space="0" w:color="F79646" w:themeColor="accent6"/>
          <w:insideV w:val="single" w:sz="6" w:space="0" w:color="F79646" w:themeColor="accent6"/>
        </w:tcBorders>
        <w:shd w:val="clear" w:fill="FFFFFF"/>
      </w:tcPr>
    </w:tblStylePr>
    <w:tblStylePr w:type="nwCell">
      <w:tblPr/>
      <w:tcPr>
        <w:shd w:val="clear"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fill="FFFFF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fill="FFFFFF"/>
    </w:tcPr>
    <w:tblStylePr w:type="firstRow">
      <w:rPr>
        <w:b/>
        <w:bCs/>
      </w:rPr>
      <w:tblPr/>
      <w:tcPr>
        <w:tcBorders>
          <w:top w:val="nil"/>
          <w:left w:val="nil"/>
          <w:bottom w:val="single" w:sz="18" w:space="0" w:color="FFFFFF" w:themeColor="background1"/>
          <w:right w:val="nil"/>
          <w:insideH w:val="nil"/>
          <w:insideV w:val="nil"/>
        </w:tcBorders>
        <w:shd w:val="clear" w:fill="FFFFFF"/>
      </w:tcPr>
    </w:tblStylePr>
    <w:tblStylePr w:type="lastRow">
      <w:tblPr/>
      <w:tcPr>
        <w:tcBorders>
          <w:top w:val="single" w:sz="18" w:space="0" w:color="FFFFFF" w:themeColor="background1"/>
          <w:left w:val="nil"/>
          <w:bottom w:val="nil"/>
          <w:right w:val="nil"/>
          <w:insideH w:val="nil"/>
          <w:insideV w:val="nil"/>
        </w:tcBorders>
        <w:shd w:val="clear" w:fill="FFFFFF"/>
      </w:tcPr>
    </w:tblStylePr>
    <w:tblStylePr w:type="firstCol">
      <w:tblPr/>
      <w:tcPr>
        <w:tcBorders>
          <w:top w:val="nil"/>
          <w:left w:val="nil"/>
          <w:bottom w:val="nil"/>
          <w:right w:val="single" w:sz="18" w:space="0" w:color="FFFFFF" w:themeColor="background1"/>
          <w:insideH w:val="nil"/>
          <w:insideV w:val="nil"/>
        </w:tcBorders>
        <w:shd w:val="clear" w:fill="FFFFFF"/>
      </w:tcPr>
    </w:tblStylePr>
    <w:tblStylePr w:type="lastCol">
      <w:tblPr/>
      <w:tcPr>
        <w:tcBorders>
          <w:top w:val="nil"/>
          <w:left w:val="single" w:sz="18" w:space="0" w:color="FFFFFF" w:themeColor="background1"/>
          <w:bottom w:val="nil"/>
          <w:right w:val="nil"/>
          <w:insideH w:val="nil"/>
          <w:insideV w:val="nil"/>
        </w:tcBorders>
        <w:shd w:val="clear" w:fill="FFFFFF"/>
      </w:tcPr>
    </w:tblStylePr>
    <w:tblStylePr w:type="band1Vert">
      <w:tblPr/>
      <w:tcPr>
        <w:tcBorders>
          <w:top w:val="nil"/>
          <w:left w:val="nil"/>
          <w:bottom w:val="nil"/>
          <w:right w:val="nil"/>
          <w:insideH w:val="nil"/>
          <w:insideV w:val="nil"/>
        </w:tcBorders>
        <w:shd w:val="clear" w:fill="FFFFFF"/>
      </w:tcPr>
    </w:tblStylePr>
    <w:tblStylePr w:type="band1Horz">
      <w:tblPr/>
      <w:tcPr>
        <w:tcBorders>
          <w:top w:val="nil"/>
          <w:left w:val="nil"/>
          <w:bottom w:val="nil"/>
          <w:right w:val="nil"/>
          <w:insideH w:val="nil"/>
          <w:insideV w:val="nil"/>
        </w:tcBorders>
        <w:shd w:val="clear" w:fill="FFFFF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fill="FFFFFF"/>
    </w:tcPr>
    <w:tblStylePr w:type="firstRow">
      <w:rPr>
        <w:b/>
        <w:bCs/>
      </w:rPr>
      <w:tblPr/>
      <w:tcPr>
        <w:tcBorders>
          <w:top w:val="nil"/>
          <w:left w:val="nil"/>
          <w:bottom w:val="single" w:sz="18" w:space="0" w:color="FFFFFF" w:themeColor="background1"/>
          <w:right w:val="nil"/>
          <w:insideH w:val="nil"/>
          <w:insideV w:val="nil"/>
        </w:tcBorders>
        <w:shd w:val="clear" w:fill="FFFFFF"/>
      </w:tcPr>
    </w:tblStylePr>
    <w:tblStylePr w:type="lastRow">
      <w:tblPr/>
      <w:tcPr>
        <w:tcBorders>
          <w:top w:val="single" w:sz="18" w:space="0" w:color="FFFFFF" w:themeColor="background1"/>
          <w:left w:val="nil"/>
          <w:bottom w:val="nil"/>
          <w:right w:val="nil"/>
          <w:insideH w:val="nil"/>
          <w:insideV w:val="nil"/>
        </w:tcBorders>
        <w:shd w:val="clear" w:fill="FFFFFF"/>
      </w:tcPr>
    </w:tblStylePr>
    <w:tblStylePr w:type="firstCol">
      <w:tblPr/>
      <w:tcPr>
        <w:tcBorders>
          <w:top w:val="nil"/>
          <w:left w:val="nil"/>
          <w:bottom w:val="nil"/>
          <w:right w:val="single" w:sz="18" w:space="0" w:color="FFFFFF" w:themeColor="background1"/>
          <w:insideH w:val="nil"/>
          <w:insideV w:val="nil"/>
        </w:tcBorders>
        <w:shd w:val="clear" w:fill="FFFFFF"/>
      </w:tcPr>
    </w:tblStylePr>
    <w:tblStylePr w:type="lastCol">
      <w:tblPr/>
      <w:tcPr>
        <w:tcBorders>
          <w:top w:val="nil"/>
          <w:left w:val="single" w:sz="18" w:space="0" w:color="FFFFFF" w:themeColor="background1"/>
          <w:bottom w:val="nil"/>
          <w:right w:val="nil"/>
          <w:insideH w:val="nil"/>
          <w:insideV w:val="nil"/>
        </w:tcBorders>
        <w:shd w:val="clear" w:fill="FFFFFF"/>
      </w:tcPr>
    </w:tblStylePr>
    <w:tblStylePr w:type="band1Vert">
      <w:tblPr/>
      <w:tcPr>
        <w:tcBorders>
          <w:top w:val="nil"/>
          <w:left w:val="nil"/>
          <w:bottom w:val="nil"/>
          <w:right w:val="nil"/>
          <w:insideH w:val="nil"/>
          <w:insideV w:val="nil"/>
        </w:tcBorders>
        <w:shd w:val="clear" w:fill="FFFFFF"/>
      </w:tcPr>
    </w:tblStylePr>
    <w:tblStylePr w:type="band1Horz">
      <w:tblPr/>
      <w:tcPr>
        <w:tcBorders>
          <w:top w:val="nil"/>
          <w:left w:val="nil"/>
          <w:bottom w:val="nil"/>
          <w:right w:val="nil"/>
          <w:insideH w:val="nil"/>
          <w:insideV w:val="nil"/>
        </w:tcBorders>
        <w:shd w:val="clear" w:fill="FFFFF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fill="FFFFFF"/>
    </w:tcPr>
    <w:tblStylePr w:type="firstRow">
      <w:rPr>
        <w:b/>
        <w:bCs/>
      </w:rPr>
      <w:tblPr/>
      <w:tcPr>
        <w:tcBorders>
          <w:top w:val="nil"/>
          <w:left w:val="nil"/>
          <w:bottom w:val="single" w:sz="18" w:space="0" w:color="FFFFFF" w:themeColor="background1"/>
          <w:right w:val="nil"/>
          <w:insideH w:val="nil"/>
          <w:insideV w:val="nil"/>
        </w:tcBorders>
        <w:shd w:val="clear" w:fill="FFFFFF"/>
      </w:tcPr>
    </w:tblStylePr>
    <w:tblStylePr w:type="lastRow">
      <w:tblPr/>
      <w:tcPr>
        <w:tcBorders>
          <w:top w:val="single" w:sz="18" w:space="0" w:color="FFFFFF" w:themeColor="background1"/>
          <w:left w:val="nil"/>
          <w:bottom w:val="nil"/>
          <w:right w:val="nil"/>
          <w:insideH w:val="nil"/>
          <w:insideV w:val="nil"/>
        </w:tcBorders>
        <w:shd w:val="clear" w:fill="FFFFFF"/>
      </w:tcPr>
    </w:tblStylePr>
    <w:tblStylePr w:type="firstCol">
      <w:tblPr/>
      <w:tcPr>
        <w:tcBorders>
          <w:top w:val="nil"/>
          <w:left w:val="nil"/>
          <w:bottom w:val="nil"/>
          <w:right w:val="single" w:sz="18" w:space="0" w:color="FFFFFF" w:themeColor="background1"/>
          <w:insideH w:val="nil"/>
          <w:insideV w:val="nil"/>
        </w:tcBorders>
        <w:shd w:val="clear" w:fill="FFFFFF"/>
      </w:tcPr>
    </w:tblStylePr>
    <w:tblStylePr w:type="lastCol">
      <w:tblPr/>
      <w:tcPr>
        <w:tcBorders>
          <w:top w:val="nil"/>
          <w:left w:val="single" w:sz="18" w:space="0" w:color="FFFFFF" w:themeColor="background1"/>
          <w:bottom w:val="nil"/>
          <w:right w:val="nil"/>
          <w:insideH w:val="nil"/>
          <w:insideV w:val="nil"/>
        </w:tcBorders>
        <w:shd w:val="clear" w:fill="FFFFFF"/>
      </w:tcPr>
    </w:tblStylePr>
    <w:tblStylePr w:type="band1Vert">
      <w:tblPr/>
      <w:tcPr>
        <w:tcBorders>
          <w:top w:val="nil"/>
          <w:left w:val="nil"/>
          <w:bottom w:val="nil"/>
          <w:right w:val="nil"/>
          <w:insideH w:val="nil"/>
          <w:insideV w:val="nil"/>
        </w:tcBorders>
        <w:shd w:val="clear" w:fill="FFFFFF"/>
      </w:tcPr>
    </w:tblStylePr>
    <w:tblStylePr w:type="band1Horz">
      <w:tblPr/>
      <w:tcPr>
        <w:tcBorders>
          <w:top w:val="nil"/>
          <w:left w:val="nil"/>
          <w:bottom w:val="nil"/>
          <w:right w:val="nil"/>
          <w:insideH w:val="nil"/>
          <w:insideV w:val="nil"/>
        </w:tcBorders>
        <w:shd w:val="clear" w:fill="FFFFF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fill="FFFFFF"/>
    </w:tcPr>
    <w:tblStylePr w:type="firstRow">
      <w:rPr>
        <w:b/>
        <w:bCs/>
      </w:rPr>
      <w:tblPr/>
      <w:tcPr>
        <w:tcBorders>
          <w:top w:val="nil"/>
          <w:left w:val="nil"/>
          <w:bottom w:val="single" w:sz="18" w:space="0" w:color="FFFFFF" w:themeColor="background1"/>
          <w:right w:val="nil"/>
          <w:insideH w:val="nil"/>
          <w:insideV w:val="nil"/>
        </w:tcBorders>
        <w:shd w:val="clear" w:fill="FFFFFF"/>
      </w:tcPr>
    </w:tblStylePr>
    <w:tblStylePr w:type="lastRow">
      <w:tblPr/>
      <w:tcPr>
        <w:tcBorders>
          <w:top w:val="single" w:sz="18" w:space="0" w:color="FFFFFF" w:themeColor="background1"/>
          <w:left w:val="nil"/>
          <w:bottom w:val="nil"/>
          <w:right w:val="nil"/>
          <w:insideH w:val="nil"/>
          <w:insideV w:val="nil"/>
        </w:tcBorders>
        <w:shd w:val="clear" w:fill="FFFFFF"/>
      </w:tcPr>
    </w:tblStylePr>
    <w:tblStylePr w:type="firstCol">
      <w:tblPr/>
      <w:tcPr>
        <w:tcBorders>
          <w:top w:val="nil"/>
          <w:left w:val="nil"/>
          <w:bottom w:val="nil"/>
          <w:right w:val="single" w:sz="18" w:space="0" w:color="FFFFFF" w:themeColor="background1"/>
          <w:insideH w:val="nil"/>
          <w:insideV w:val="nil"/>
        </w:tcBorders>
        <w:shd w:val="clear" w:fill="FFFFFF"/>
      </w:tcPr>
    </w:tblStylePr>
    <w:tblStylePr w:type="lastCol">
      <w:tblPr/>
      <w:tcPr>
        <w:tcBorders>
          <w:top w:val="nil"/>
          <w:left w:val="single" w:sz="18" w:space="0" w:color="FFFFFF" w:themeColor="background1"/>
          <w:bottom w:val="nil"/>
          <w:right w:val="nil"/>
          <w:insideH w:val="nil"/>
          <w:insideV w:val="nil"/>
        </w:tcBorders>
        <w:shd w:val="clear" w:fill="FFFFFF"/>
      </w:tcPr>
    </w:tblStylePr>
    <w:tblStylePr w:type="band1Vert">
      <w:tblPr/>
      <w:tcPr>
        <w:tcBorders>
          <w:top w:val="nil"/>
          <w:left w:val="nil"/>
          <w:bottom w:val="nil"/>
          <w:right w:val="nil"/>
          <w:insideH w:val="nil"/>
          <w:insideV w:val="nil"/>
        </w:tcBorders>
        <w:shd w:val="clear" w:fill="FFFFFF"/>
      </w:tcPr>
    </w:tblStylePr>
    <w:tblStylePr w:type="band1Horz">
      <w:tblPr/>
      <w:tcPr>
        <w:tcBorders>
          <w:top w:val="nil"/>
          <w:left w:val="nil"/>
          <w:bottom w:val="nil"/>
          <w:right w:val="nil"/>
          <w:insideH w:val="nil"/>
          <w:insideV w:val="nil"/>
        </w:tcBorders>
        <w:shd w:val="clear" w:fill="FFFFF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fill="FFFFFF"/>
    </w:tcPr>
    <w:tblStylePr w:type="firstRow">
      <w:rPr>
        <w:b/>
        <w:bCs/>
      </w:rPr>
      <w:tblPr/>
      <w:tcPr>
        <w:tcBorders>
          <w:top w:val="nil"/>
          <w:left w:val="nil"/>
          <w:bottom w:val="single" w:sz="18" w:space="0" w:color="FFFFFF" w:themeColor="background1"/>
          <w:right w:val="nil"/>
          <w:insideH w:val="nil"/>
          <w:insideV w:val="nil"/>
        </w:tcBorders>
        <w:shd w:val="clear" w:fill="FFFFFF"/>
      </w:tcPr>
    </w:tblStylePr>
    <w:tblStylePr w:type="lastRow">
      <w:tblPr/>
      <w:tcPr>
        <w:tcBorders>
          <w:top w:val="single" w:sz="18" w:space="0" w:color="FFFFFF" w:themeColor="background1"/>
          <w:left w:val="nil"/>
          <w:bottom w:val="nil"/>
          <w:right w:val="nil"/>
          <w:insideH w:val="nil"/>
          <w:insideV w:val="nil"/>
        </w:tcBorders>
        <w:shd w:val="clear" w:fill="FFFFFF"/>
      </w:tcPr>
    </w:tblStylePr>
    <w:tblStylePr w:type="firstCol">
      <w:tblPr/>
      <w:tcPr>
        <w:tcBorders>
          <w:top w:val="nil"/>
          <w:left w:val="nil"/>
          <w:bottom w:val="nil"/>
          <w:right w:val="single" w:sz="18" w:space="0" w:color="FFFFFF" w:themeColor="background1"/>
          <w:insideH w:val="nil"/>
          <w:insideV w:val="nil"/>
        </w:tcBorders>
        <w:shd w:val="clear" w:fill="FFFFFF"/>
      </w:tcPr>
    </w:tblStylePr>
    <w:tblStylePr w:type="lastCol">
      <w:tblPr/>
      <w:tcPr>
        <w:tcBorders>
          <w:top w:val="nil"/>
          <w:left w:val="single" w:sz="18" w:space="0" w:color="FFFFFF" w:themeColor="background1"/>
          <w:bottom w:val="nil"/>
          <w:right w:val="nil"/>
          <w:insideH w:val="nil"/>
          <w:insideV w:val="nil"/>
        </w:tcBorders>
        <w:shd w:val="clear" w:fill="FFFFFF"/>
      </w:tcPr>
    </w:tblStylePr>
    <w:tblStylePr w:type="band1Vert">
      <w:tblPr/>
      <w:tcPr>
        <w:tcBorders>
          <w:top w:val="nil"/>
          <w:left w:val="nil"/>
          <w:bottom w:val="nil"/>
          <w:right w:val="nil"/>
          <w:insideH w:val="nil"/>
          <w:insideV w:val="nil"/>
        </w:tcBorders>
        <w:shd w:val="clear" w:fill="FFFFFF"/>
      </w:tcPr>
    </w:tblStylePr>
    <w:tblStylePr w:type="band1Horz">
      <w:tblPr/>
      <w:tcPr>
        <w:tcBorders>
          <w:top w:val="nil"/>
          <w:left w:val="nil"/>
          <w:bottom w:val="nil"/>
          <w:right w:val="nil"/>
          <w:insideH w:val="nil"/>
          <w:insideV w:val="nil"/>
        </w:tcBorders>
        <w:shd w:val="clear" w:fill="FFFFF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fill="FFFFFF"/>
    </w:tcPr>
    <w:tblStylePr w:type="firstRow">
      <w:rPr>
        <w:b/>
        <w:bCs/>
      </w:rPr>
      <w:tblPr/>
      <w:tcPr>
        <w:tcBorders>
          <w:top w:val="nil"/>
          <w:left w:val="nil"/>
          <w:bottom w:val="single" w:sz="18" w:space="0" w:color="FFFFFF" w:themeColor="background1"/>
          <w:right w:val="nil"/>
          <w:insideH w:val="nil"/>
          <w:insideV w:val="nil"/>
        </w:tcBorders>
        <w:shd w:val="clear" w:fill="FFFFFF"/>
      </w:tcPr>
    </w:tblStylePr>
    <w:tblStylePr w:type="lastRow">
      <w:tblPr/>
      <w:tcPr>
        <w:tcBorders>
          <w:top w:val="single" w:sz="18" w:space="0" w:color="FFFFFF" w:themeColor="background1"/>
          <w:left w:val="nil"/>
          <w:bottom w:val="nil"/>
          <w:right w:val="nil"/>
          <w:insideH w:val="nil"/>
          <w:insideV w:val="nil"/>
        </w:tcBorders>
        <w:shd w:val="clear" w:fill="FFFFFF"/>
      </w:tcPr>
    </w:tblStylePr>
    <w:tblStylePr w:type="firstCol">
      <w:tblPr/>
      <w:tcPr>
        <w:tcBorders>
          <w:top w:val="nil"/>
          <w:left w:val="nil"/>
          <w:bottom w:val="nil"/>
          <w:right w:val="single" w:sz="18" w:space="0" w:color="FFFFFF" w:themeColor="background1"/>
          <w:insideH w:val="nil"/>
          <w:insideV w:val="nil"/>
        </w:tcBorders>
        <w:shd w:val="clear" w:fill="FFFFFF"/>
      </w:tcPr>
    </w:tblStylePr>
    <w:tblStylePr w:type="lastCol">
      <w:tblPr/>
      <w:tcPr>
        <w:tcBorders>
          <w:top w:val="nil"/>
          <w:left w:val="single" w:sz="18" w:space="0" w:color="FFFFFF" w:themeColor="background1"/>
          <w:bottom w:val="nil"/>
          <w:right w:val="nil"/>
          <w:insideH w:val="nil"/>
          <w:insideV w:val="nil"/>
        </w:tcBorders>
        <w:shd w:val="clear" w:fill="FFFFFF"/>
      </w:tcPr>
    </w:tblStylePr>
    <w:tblStylePr w:type="band1Vert">
      <w:tblPr/>
      <w:tcPr>
        <w:tcBorders>
          <w:top w:val="nil"/>
          <w:left w:val="nil"/>
          <w:bottom w:val="nil"/>
          <w:right w:val="nil"/>
          <w:insideH w:val="nil"/>
          <w:insideV w:val="nil"/>
        </w:tcBorders>
        <w:shd w:val="clear" w:fill="FFFFFF"/>
      </w:tcPr>
    </w:tblStylePr>
    <w:tblStylePr w:type="band1Horz">
      <w:tblPr/>
      <w:tcPr>
        <w:tcBorders>
          <w:top w:val="nil"/>
          <w:left w:val="nil"/>
          <w:bottom w:val="nil"/>
          <w:right w:val="nil"/>
          <w:insideH w:val="nil"/>
          <w:insideV w:val="nil"/>
        </w:tcBorders>
        <w:shd w:val="clear" w:fill="FFFFF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fill="FFFFFF"/>
    </w:tcPr>
    <w:tblStylePr w:type="firstRow">
      <w:rPr>
        <w:b/>
        <w:bCs/>
      </w:rPr>
      <w:tblPr/>
      <w:tcPr>
        <w:tcBorders>
          <w:top w:val="nil"/>
          <w:left w:val="nil"/>
          <w:bottom w:val="single" w:sz="18" w:space="0" w:color="FFFFFF" w:themeColor="background1"/>
          <w:right w:val="nil"/>
          <w:insideH w:val="nil"/>
          <w:insideV w:val="nil"/>
        </w:tcBorders>
        <w:shd w:val="clear" w:fill="FFFFFF"/>
      </w:tcPr>
    </w:tblStylePr>
    <w:tblStylePr w:type="lastRow">
      <w:tblPr/>
      <w:tcPr>
        <w:tcBorders>
          <w:top w:val="single" w:sz="18" w:space="0" w:color="FFFFFF" w:themeColor="background1"/>
          <w:left w:val="nil"/>
          <w:bottom w:val="nil"/>
          <w:right w:val="nil"/>
          <w:insideH w:val="nil"/>
          <w:insideV w:val="nil"/>
        </w:tcBorders>
        <w:shd w:val="clear" w:fill="FFFFFF"/>
      </w:tcPr>
    </w:tblStylePr>
    <w:tblStylePr w:type="firstCol">
      <w:tblPr/>
      <w:tcPr>
        <w:tcBorders>
          <w:top w:val="nil"/>
          <w:left w:val="nil"/>
          <w:bottom w:val="nil"/>
          <w:right w:val="single" w:sz="18" w:space="0" w:color="FFFFFF" w:themeColor="background1"/>
          <w:insideH w:val="nil"/>
          <w:insideV w:val="nil"/>
        </w:tcBorders>
        <w:shd w:val="clear" w:fill="FFFFFF"/>
      </w:tcPr>
    </w:tblStylePr>
    <w:tblStylePr w:type="lastCol">
      <w:tblPr/>
      <w:tcPr>
        <w:tcBorders>
          <w:top w:val="nil"/>
          <w:left w:val="single" w:sz="18" w:space="0" w:color="FFFFFF" w:themeColor="background1"/>
          <w:bottom w:val="nil"/>
          <w:right w:val="nil"/>
          <w:insideH w:val="nil"/>
          <w:insideV w:val="nil"/>
        </w:tcBorders>
        <w:shd w:val="clear" w:fill="FFFFFF"/>
      </w:tcPr>
    </w:tblStylePr>
    <w:tblStylePr w:type="band1Vert">
      <w:tblPr/>
      <w:tcPr>
        <w:tcBorders>
          <w:top w:val="nil"/>
          <w:left w:val="nil"/>
          <w:bottom w:val="nil"/>
          <w:right w:val="nil"/>
          <w:insideH w:val="nil"/>
          <w:insideV w:val="nil"/>
        </w:tcBorders>
        <w:shd w:val="clear" w:fill="FFFFFF"/>
      </w:tcPr>
    </w:tblStylePr>
    <w:tblStylePr w:type="band1Horz">
      <w:tblPr/>
      <w:tcPr>
        <w:tcBorders>
          <w:top w:val="nil"/>
          <w:left w:val="nil"/>
          <w:bottom w:val="nil"/>
          <w:right w:val="nil"/>
          <w:insideH w:val="nil"/>
          <w:insideV w:val="nil"/>
        </w:tcBorders>
        <w:shd w:val="clear"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fill="FFFFFF"/>
    </w:tcPr>
    <w:tblStylePr w:type="firstRow">
      <w:rPr>
        <w:b/>
        <w:bCs/>
      </w:rPr>
      <w:tblPr/>
      <w:tcPr>
        <w:tcBorders>
          <w:top w:val="nil"/>
          <w:left w:val="nil"/>
          <w:bottom w:val="single" w:sz="24" w:space="0" w:color="C0504D" w:themeColor="accent2"/>
          <w:right w:val="nil"/>
          <w:insideH w:val="nil"/>
          <w:insideV w:val="nil"/>
        </w:tcBorders>
        <w:shd w:val="clear" w:fill="FFFFFF"/>
      </w:tcPr>
    </w:tblStylePr>
    <w:tblStylePr w:type="lastRow">
      <w:rPr>
        <w:b/>
        <w:bCs/>
        <w:color w:val="000000"/>
      </w:rPr>
      <w:tblPr/>
      <w:tcPr>
        <w:tcBorders>
          <w:top w:val="single" w:sz="6" w:space="0" w:color="FFFFFF" w:themeColor="background1"/>
        </w:tcBorders>
        <w:shd w:val="clear" w:fill="FFFFFF"/>
      </w:tcPr>
    </w:tblStylePr>
    <w:tblStylePr w:type="firstCol">
      <w:rPr>
        <w:color w:val="000000"/>
      </w:rPr>
      <w:tblPr/>
      <w:tcPr>
        <w:tcBorders>
          <w:top w:val="nil"/>
          <w:left w:val="nil"/>
          <w:bottom w:val="nil"/>
          <w:right w:val="nil"/>
          <w:insideH w:val="single" w:sz="4" w:space="0" w:color="000000" w:themeColor="text1" w:themeShade="99"/>
          <w:insideV w:val="nil"/>
        </w:tcBorders>
        <w:shd w:val="clear" w:fill="FFFFFF"/>
      </w:tcPr>
    </w:tblStylePr>
    <w:tblStylePr w:type="lastCol">
      <w:rPr>
        <w:color w:val="000000"/>
      </w:rPr>
      <w:tblPr/>
      <w:tcPr>
        <w:tcBorders>
          <w:top w:val="nil"/>
          <w:left w:val="nil"/>
          <w:bottom w:val="nil"/>
          <w:right w:val="nil"/>
          <w:insideH w:val="nil"/>
          <w:insideV w:val="nil"/>
        </w:tcBorders>
        <w:shd w:val="clear" w:fill="FFFFFF"/>
      </w:tcPr>
    </w:tblStylePr>
    <w:tblStylePr w:type="band1Vert">
      <w:tblPr/>
      <w:tcPr>
        <w:shd w:val="clear" w:fill="FFFFFF"/>
      </w:tcPr>
    </w:tblStylePr>
    <w:tblStylePr w:type="band1Horz">
      <w:tblPr/>
      <w:tcPr>
        <w:shd w:val="clear"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fill="FFFFFF"/>
    </w:tcPr>
    <w:tblStylePr w:type="firstRow">
      <w:rPr>
        <w:b/>
        <w:bCs/>
      </w:rPr>
      <w:tblPr/>
      <w:tcPr>
        <w:tcBorders>
          <w:top w:val="nil"/>
          <w:left w:val="nil"/>
          <w:bottom w:val="single" w:sz="24" w:space="0" w:color="C0504D" w:themeColor="accent2"/>
          <w:right w:val="nil"/>
          <w:insideH w:val="nil"/>
          <w:insideV w:val="nil"/>
        </w:tcBorders>
        <w:shd w:val="clear" w:fill="FFFFFF"/>
      </w:tcPr>
    </w:tblStylePr>
    <w:tblStylePr w:type="lastRow">
      <w:rPr>
        <w:b/>
        <w:bCs/>
        <w:color w:val="000000"/>
      </w:rPr>
      <w:tblPr/>
      <w:tcPr>
        <w:tcBorders>
          <w:top w:val="single" w:sz="6" w:space="0" w:color="FFFFFF" w:themeColor="background1"/>
        </w:tcBorders>
        <w:shd w:val="clear" w:fill="FFFFFF"/>
      </w:tcPr>
    </w:tblStylePr>
    <w:tblStylePr w:type="firstCol">
      <w:rPr>
        <w:color w:val="000000"/>
      </w:rPr>
      <w:tblPr/>
      <w:tcPr>
        <w:tcBorders>
          <w:top w:val="nil"/>
          <w:left w:val="nil"/>
          <w:bottom w:val="nil"/>
          <w:right w:val="nil"/>
          <w:insideH w:val="single" w:sz="4" w:space="0" w:color="2C4C74" w:themeColor="accent1" w:themeShade="99"/>
          <w:insideV w:val="nil"/>
        </w:tcBorders>
        <w:shd w:val="clear" w:fill="FFFFFF"/>
      </w:tcPr>
    </w:tblStylePr>
    <w:tblStylePr w:type="lastCol">
      <w:rPr>
        <w:color w:val="000000"/>
      </w:rPr>
      <w:tblPr/>
      <w:tcPr>
        <w:tcBorders>
          <w:top w:val="nil"/>
          <w:left w:val="nil"/>
          <w:bottom w:val="nil"/>
          <w:right w:val="nil"/>
          <w:insideH w:val="nil"/>
          <w:insideV w:val="nil"/>
        </w:tcBorders>
        <w:shd w:val="clear" w:fill="FFFFFF"/>
      </w:tcPr>
    </w:tblStylePr>
    <w:tblStylePr w:type="band1Vert">
      <w:tblPr/>
      <w:tcPr>
        <w:shd w:val="clear" w:fill="FFFFFF"/>
      </w:tcPr>
    </w:tblStylePr>
    <w:tblStylePr w:type="band1Horz">
      <w:tblPr/>
      <w:tcPr>
        <w:shd w:val="clear"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fill="FFFFFF"/>
    </w:tcPr>
    <w:tblStylePr w:type="firstRow">
      <w:rPr>
        <w:b/>
        <w:bCs/>
      </w:rPr>
      <w:tblPr/>
      <w:tcPr>
        <w:tcBorders>
          <w:top w:val="nil"/>
          <w:left w:val="nil"/>
          <w:bottom w:val="single" w:sz="24" w:space="0" w:color="C0504D" w:themeColor="accent2"/>
          <w:right w:val="nil"/>
          <w:insideH w:val="nil"/>
          <w:insideV w:val="nil"/>
        </w:tcBorders>
        <w:shd w:val="clear" w:fill="FFFFFF"/>
      </w:tcPr>
    </w:tblStylePr>
    <w:tblStylePr w:type="lastRow">
      <w:rPr>
        <w:b/>
        <w:bCs/>
        <w:color w:val="000000"/>
      </w:rPr>
      <w:tblPr/>
      <w:tcPr>
        <w:tcBorders>
          <w:top w:val="single" w:sz="6" w:space="0" w:color="FFFFFF" w:themeColor="background1"/>
        </w:tcBorders>
        <w:shd w:val="clear" w:fill="FFFFFF"/>
      </w:tcPr>
    </w:tblStylePr>
    <w:tblStylePr w:type="firstCol">
      <w:rPr>
        <w:color w:val="000000"/>
      </w:rPr>
      <w:tblPr/>
      <w:tcPr>
        <w:tcBorders>
          <w:top w:val="nil"/>
          <w:left w:val="nil"/>
          <w:bottom w:val="nil"/>
          <w:right w:val="nil"/>
          <w:insideH w:val="single" w:sz="4" w:space="0" w:color="772C2A" w:themeColor="accent2" w:themeShade="99"/>
          <w:insideV w:val="nil"/>
        </w:tcBorders>
        <w:shd w:val="clear" w:fill="FFFFFF"/>
      </w:tcPr>
    </w:tblStylePr>
    <w:tblStylePr w:type="lastCol">
      <w:rPr>
        <w:color w:val="000000"/>
      </w:rPr>
      <w:tblPr/>
      <w:tcPr>
        <w:tcBorders>
          <w:top w:val="nil"/>
          <w:left w:val="nil"/>
          <w:bottom w:val="nil"/>
          <w:right w:val="nil"/>
          <w:insideH w:val="nil"/>
          <w:insideV w:val="nil"/>
        </w:tcBorders>
        <w:shd w:val="clear" w:fill="FFFFFF"/>
      </w:tcPr>
    </w:tblStylePr>
    <w:tblStylePr w:type="band1Vert">
      <w:tblPr/>
      <w:tcPr>
        <w:shd w:val="clear" w:fill="FFFFFF"/>
      </w:tcPr>
    </w:tblStylePr>
    <w:tblStylePr w:type="band1Horz">
      <w:tblPr/>
      <w:tcPr>
        <w:shd w:val="clear"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fill="FFFFFF"/>
    </w:tcPr>
    <w:tblStylePr w:type="firstRow">
      <w:rPr>
        <w:b/>
        <w:bCs/>
      </w:rPr>
      <w:tblPr/>
      <w:tcPr>
        <w:tcBorders>
          <w:top w:val="nil"/>
          <w:left w:val="nil"/>
          <w:bottom w:val="single" w:sz="24" w:space="0" w:color="8064A2" w:themeColor="accent4"/>
          <w:right w:val="nil"/>
          <w:insideH w:val="nil"/>
          <w:insideV w:val="nil"/>
        </w:tcBorders>
        <w:shd w:val="clear" w:fill="FFFFFF"/>
      </w:tcPr>
    </w:tblStylePr>
    <w:tblStylePr w:type="lastRow">
      <w:rPr>
        <w:b/>
        <w:bCs/>
        <w:color w:val="000000"/>
      </w:rPr>
      <w:tblPr/>
      <w:tcPr>
        <w:tcBorders>
          <w:top w:val="single" w:sz="6" w:space="0" w:color="FFFFFF" w:themeColor="background1"/>
        </w:tcBorders>
        <w:shd w:val="clear" w:fill="FFFFFF"/>
      </w:tcPr>
    </w:tblStylePr>
    <w:tblStylePr w:type="firstCol">
      <w:rPr>
        <w:color w:val="000000"/>
      </w:rPr>
      <w:tblPr/>
      <w:tcPr>
        <w:tcBorders>
          <w:top w:val="nil"/>
          <w:left w:val="nil"/>
          <w:bottom w:val="nil"/>
          <w:right w:val="nil"/>
          <w:insideH w:val="single" w:sz="4" w:space="0" w:color="5E7530" w:themeColor="accent3" w:themeShade="99"/>
          <w:insideV w:val="nil"/>
        </w:tcBorders>
        <w:shd w:val="clear" w:fill="FFFFFF"/>
      </w:tcPr>
    </w:tblStylePr>
    <w:tblStylePr w:type="lastCol">
      <w:rPr>
        <w:color w:val="000000"/>
      </w:rPr>
      <w:tblPr/>
      <w:tcPr>
        <w:tcBorders>
          <w:top w:val="nil"/>
          <w:left w:val="nil"/>
          <w:bottom w:val="nil"/>
          <w:right w:val="nil"/>
          <w:insideH w:val="nil"/>
          <w:insideV w:val="nil"/>
        </w:tcBorders>
        <w:shd w:val="clear" w:fill="FFFFFF"/>
      </w:tcPr>
    </w:tblStylePr>
    <w:tblStylePr w:type="band1Vert">
      <w:tblPr/>
      <w:tcPr>
        <w:shd w:val="clear" w:fill="FFFFFF"/>
      </w:tcPr>
    </w:tblStylePr>
    <w:tblStylePr w:type="band1Horz">
      <w:tblPr/>
      <w:tcPr>
        <w:shd w:val="clear"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fill="FFFFFF"/>
    </w:tcPr>
    <w:tblStylePr w:type="firstRow">
      <w:rPr>
        <w:b/>
        <w:bCs/>
      </w:rPr>
      <w:tblPr/>
      <w:tcPr>
        <w:tcBorders>
          <w:top w:val="nil"/>
          <w:left w:val="nil"/>
          <w:bottom w:val="single" w:sz="24" w:space="0" w:color="9BBB59" w:themeColor="accent3"/>
          <w:right w:val="nil"/>
          <w:insideH w:val="nil"/>
          <w:insideV w:val="nil"/>
        </w:tcBorders>
        <w:shd w:val="clear" w:fill="FFFFFF"/>
      </w:tcPr>
    </w:tblStylePr>
    <w:tblStylePr w:type="lastRow">
      <w:rPr>
        <w:b/>
        <w:bCs/>
        <w:color w:val="000000"/>
      </w:rPr>
      <w:tblPr/>
      <w:tcPr>
        <w:tcBorders>
          <w:top w:val="single" w:sz="6" w:space="0" w:color="FFFFFF" w:themeColor="background1"/>
        </w:tcBorders>
        <w:shd w:val="clear" w:fill="FFFFFF"/>
      </w:tcPr>
    </w:tblStylePr>
    <w:tblStylePr w:type="firstCol">
      <w:rPr>
        <w:color w:val="000000"/>
      </w:rPr>
      <w:tblPr/>
      <w:tcPr>
        <w:tcBorders>
          <w:top w:val="nil"/>
          <w:left w:val="nil"/>
          <w:bottom w:val="nil"/>
          <w:right w:val="nil"/>
          <w:insideH w:val="single" w:sz="4" w:space="0" w:color="4C3B62" w:themeColor="accent4" w:themeShade="99"/>
          <w:insideV w:val="nil"/>
        </w:tcBorders>
        <w:shd w:val="clear" w:fill="FFFFFF"/>
      </w:tcPr>
    </w:tblStylePr>
    <w:tblStylePr w:type="lastCol">
      <w:rPr>
        <w:color w:val="000000"/>
      </w:rPr>
      <w:tblPr/>
      <w:tcPr>
        <w:tcBorders>
          <w:top w:val="nil"/>
          <w:left w:val="nil"/>
          <w:bottom w:val="nil"/>
          <w:right w:val="nil"/>
          <w:insideH w:val="nil"/>
          <w:insideV w:val="nil"/>
        </w:tcBorders>
        <w:shd w:val="clear" w:fill="FFFFFF"/>
      </w:tcPr>
    </w:tblStylePr>
    <w:tblStylePr w:type="band1Vert">
      <w:tblPr/>
      <w:tcPr>
        <w:shd w:val="clear" w:fill="FFFFFF"/>
      </w:tcPr>
    </w:tblStylePr>
    <w:tblStylePr w:type="band1Horz">
      <w:tblPr/>
      <w:tcPr>
        <w:shd w:val="clear"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fill="FFFFFF"/>
    </w:tcPr>
    <w:tblStylePr w:type="firstRow">
      <w:rPr>
        <w:b/>
        <w:bCs/>
      </w:rPr>
      <w:tblPr/>
      <w:tcPr>
        <w:tcBorders>
          <w:top w:val="nil"/>
          <w:left w:val="nil"/>
          <w:bottom w:val="single" w:sz="24" w:space="0" w:color="F79646" w:themeColor="accent6"/>
          <w:right w:val="nil"/>
          <w:insideH w:val="nil"/>
          <w:insideV w:val="nil"/>
        </w:tcBorders>
        <w:shd w:val="clear" w:fill="FFFFFF"/>
      </w:tcPr>
    </w:tblStylePr>
    <w:tblStylePr w:type="lastRow">
      <w:rPr>
        <w:b/>
        <w:bCs/>
        <w:color w:val="000000"/>
      </w:rPr>
      <w:tblPr/>
      <w:tcPr>
        <w:tcBorders>
          <w:top w:val="single" w:sz="6" w:space="0" w:color="FFFFFF" w:themeColor="background1"/>
        </w:tcBorders>
        <w:shd w:val="clear" w:fill="FFFFFF"/>
      </w:tcPr>
    </w:tblStylePr>
    <w:tblStylePr w:type="firstCol">
      <w:rPr>
        <w:color w:val="000000"/>
      </w:rPr>
      <w:tblPr/>
      <w:tcPr>
        <w:tcBorders>
          <w:top w:val="nil"/>
          <w:left w:val="nil"/>
          <w:bottom w:val="nil"/>
          <w:right w:val="nil"/>
          <w:insideH w:val="single" w:sz="4" w:space="0" w:color="276A7C" w:themeColor="accent5" w:themeShade="99"/>
          <w:insideV w:val="nil"/>
        </w:tcBorders>
        <w:shd w:val="clear" w:fill="FFFFFF"/>
      </w:tcPr>
    </w:tblStylePr>
    <w:tblStylePr w:type="lastCol">
      <w:rPr>
        <w:color w:val="000000"/>
      </w:rPr>
      <w:tblPr/>
      <w:tcPr>
        <w:tcBorders>
          <w:top w:val="nil"/>
          <w:left w:val="nil"/>
          <w:bottom w:val="nil"/>
          <w:right w:val="nil"/>
          <w:insideH w:val="nil"/>
          <w:insideV w:val="nil"/>
        </w:tcBorders>
        <w:shd w:val="clear" w:fill="FFFFFF"/>
      </w:tcPr>
    </w:tblStylePr>
    <w:tblStylePr w:type="band1Vert">
      <w:tblPr/>
      <w:tcPr>
        <w:shd w:val="clear" w:fill="FFFFFF"/>
      </w:tcPr>
    </w:tblStylePr>
    <w:tblStylePr w:type="band1Horz">
      <w:tblPr/>
      <w:tcPr>
        <w:shd w:val="clear"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fill="FFFFFF"/>
    </w:tcPr>
    <w:tblStylePr w:type="firstRow">
      <w:rPr>
        <w:b/>
        <w:bCs/>
      </w:rPr>
      <w:tblPr/>
      <w:tcPr>
        <w:tcBorders>
          <w:top w:val="nil"/>
          <w:left w:val="nil"/>
          <w:bottom w:val="single" w:sz="24" w:space="0" w:color="4BACC6" w:themeColor="accent5"/>
          <w:right w:val="nil"/>
          <w:insideH w:val="nil"/>
          <w:insideV w:val="nil"/>
        </w:tcBorders>
        <w:shd w:val="clear" w:fill="FFFFFF"/>
      </w:tcPr>
    </w:tblStylePr>
    <w:tblStylePr w:type="lastRow">
      <w:rPr>
        <w:b/>
        <w:bCs/>
        <w:color w:val="000000"/>
      </w:rPr>
      <w:tblPr/>
      <w:tcPr>
        <w:tcBorders>
          <w:top w:val="single" w:sz="6" w:space="0" w:color="FFFFFF" w:themeColor="background1"/>
        </w:tcBorders>
        <w:shd w:val="clear" w:fill="FFFFFF"/>
      </w:tcPr>
    </w:tblStylePr>
    <w:tblStylePr w:type="firstCol">
      <w:rPr>
        <w:color w:val="000000"/>
      </w:rPr>
      <w:tblPr/>
      <w:tcPr>
        <w:tcBorders>
          <w:top w:val="nil"/>
          <w:left w:val="nil"/>
          <w:bottom w:val="nil"/>
          <w:right w:val="nil"/>
          <w:insideH w:val="single" w:sz="4" w:space="0" w:color="B65608" w:themeColor="accent6" w:themeShade="99"/>
          <w:insideV w:val="nil"/>
        </w:tcBorders>
        <w:shd w:val="clear" w:fill="FFFFFF"/>
      </w:tcPr>
    </w:tblStylePr>
    <w:tblStylePr w:type="lastCol">
      <w:rPr>
        <w:color w:val="000000"/>
      </w:rPr>
      <w:tblPr/>
      <w:tcPr>
        <w:tcBorders>
          <w:top w:val="nil"/>
          <w:left w:val="nil"/>
          <w:bottom w:val="nil"/>
          <w:right w:val="nil"/>
          <w:insideH w:val="nil"/>
          <w:insideV w:val="nil"/>
        </w:tcBorders>
        <w:shd w:val="clear" w:fill="FFFFFF"/>
      </w:tcPr>
    </w:tblStylePr>
    <w:tblStylePr w:type="band1Vert">
      <w:tblPr/>
      <w:tcPr>
        <w:shd w:val="clear" w:fill="FFFFFF"/>
      </w:tcPr>
    </w:tblStylePr>
    <w:tblStylePr w:type="band1Horz">
      <w:tblPr/>
      <w:tcPr>
        <w:shd w:val="clear"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fill="FFFFFF"/>
    </w:tcPr>
    <w:tblStylePr w:type="firstRow">
      <w:rPr>
        <w:b/>
        <w:bCs/>
        <w:color w:val="000000"/>
      </w:rPr>
      <w:tblPr/>
      <w:tcPr>
        <w:tcBorders>
          <w:bottom w:val="single" w:sz="12" w:space="0" w:color="FFFFFF" w:themeColor="background1"/>
        </w:tcBorders>
        <w:shd w:val="clear" w:fill="FFFFFF"/>
      </w:tcPr>
    </w:tblStylePr>
    <w:tblStylePr w:type="lastRow">
      <w:rPr>
        <w:b/>
        <w:bCs/>
        <w:color w:val="000000"/>
      </w:rPr>
      <w:tblPr/>
      <w:tcPr>
        <w:tcBorders>
          <w:top w:val="single" w:sz="12" w:space="0" w:color="000000" w:themeColor="text1"/>
        </w:tcBorders>
        <w:shd w:val="clear"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fill="FFFFFF"/>
      </w:tcPr>
    </w:tblStylePr>
    <w:tblStylePr w:type="band1Horz">
      <w:tblPr/>
      <w:tcPr>
        <w:shd w:val="clear"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fill="FFFFFF"/>
    </w:tcPr>
    <w:tblStylePr w:type="firstRow">
      <w:rPr>
        <w:b/>
        <w:bCs/>
        <w:color w:val="000000"/>
      </w:rPr>
      <w:tblPr/>
      <w:tcPr>
        <w:tcBorders>
          <w:bottom w:val="single" w:sz="12" w:space="0" w:color="FFFFFF" w:themeColor="background1"/>
        </w:tcBorders>
        <w:shd w:val="clear" w:fill="FFFFFF"/>
      </w:tcPr>
    </w:tblStylePr>
    <w:tblStylePr w:type="lastRow">
      <w:rPr>
        <w:b/>
        <w:bCs/>
        <w:color w:val="000000"/>
      </w:rPr>
      <w:tblPr/>
      <w:tcPr>
        <w:tcBorders>
          <w:top w:val="single" w:sz="12" w:space="0" w:color="000000" w:themeColor="text1"/>
        </w:tcBorders>
        <w:shd w:val="clear"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fill="FFFFFF"/>
      </w:tcPr>
    </w:tblStylePr>
    <w:tblStylePr w:type="band1Horz">
      <w:tblPr/>
      <w:tcPr>
        <w:shd w:val="clear"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fill="FFFFFF"/>
    </w:tcPr>
    <w:tblStylePr w:type="firstRow">
      <w:rPr>
        <w:b/>
        <w:bCs/>
        <w:color w:val="000000"/>
      </w:rPr>
      <w:tblPr/>
      <w:tcPr>
        <w:tcBorders>
          <w:bottom w:val="single" w:sz="12" w:space="0" w:color="FFFFFF" w:themeColor="background1"/>
        </w:tcBorders>
        <w:shd w:val="clear" w:fill="FFFFFF"/>
      </w:tcPr>
    </w:tblStylePr>
    <w:tblStylePr w:type="lastRow">
      <w:rPr>
        <w:b/>
        <w:bCs/>
        <w:color w:val="000000"/>
      </w:rPr>
      <w:tblPr/>
      <w:tcPr>
        <w:tcBorders>
          <w:top w:val="single" w:sz="12" w:space="0" w:color="000000" w:themeColor="text1"/>
        </w:tcBorders>
        <w:shd w:val="clear"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fill="FFFFFF"/>
      </w:tcPr>
    </w:tblStylePr>
    <w:tblStylePr w:type="band1Horz">
      <w:tblPr/>
      <w:tcPr>
        <w:shd w:val="clear"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fill="FFFFFF"/>
    </w:tcPr>
    <w:tblStylePr w:type="firstRow">
      <w:rPr>
        <w:b/>
        <w:bCs/>
        <w:color w:val="000000"/>
      </w:rPr>
      <w:tblPr/>
      <w:tcPr>
        <w:tcBorders>
          <w:bottom w:val="single" w:sz="12" w:space="0" w:color="FFFFFF" w:themeColor="background1"/>
        </w:tcBorders>
        <w:shd w:val="clear" w:fill="FFFFFF"/>
      </w:tcPr>
    </w:tblStylePr>
    <w:tblStylePr w:type="lastRow">
      <w:rPr>
        <w:b/>
        <w:bCs/>
        <w:color w:val="000000"/>
      </w:rPr>
      <w:tblPr/>
      <w:tcPr>
        <w:tcBorders>
          <w:top w:val="single" w:sz="12" w:space="0" w:color="000000" w:themeColor="text1"/>
        </w:tcBorders>
        <w:shd w:val="clear"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fill="FFFFFF"/>
      </w:tcPr>
    </w:tblStylePr>
    <w:tblStylePr w:type="band1Horz">
      <w:tblPr/>
      <w:tcPr>
        <w:shd w:val="clear"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fill="FFFFFF"/>
    </w:tcPr>
    <w:tblStylePr w:type="firstRow">
      <w:rPr>
        <w:b/>
        <w:bCs/>
        <w:color w:val="000000"/>
      </w:rPr>
      <w:tblPr/>
      <w:tcPr>
        <w:tcBorders>
          <w:bottom w:val="single" w:sz="12" w:space="0" w:color="FFFFFF" w:themeColor="background1"/>
        </w:tcBorders>
        <w:shd w:val="clear" w:fill="FFFFFF"/>
      </w:tcPr>
    </w:tblStylePr>
    <w:tblStylePr w:type="lastRow">
      <w:rPr>
        <w:b/>
        <w:bCs/>
        <w:color w:val="000000"/>
      </w:rPr>
      <w:tblPr/>
      <w:tcPr>
        <w:tcBorders>
          <w:top w:val="single" w:sz="12" w:space="0" w:color="000000" w:themeColor="text1"/>
        </w:tcBorders>
        <w:shd w:val="clear"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fill="FFFFFF"/>
      </w:tcPr>
    </w:tblStylePr>
    <w:tblStylePr w:type="band1Horz">
      <w:tblPr/>
      <w:tcPr>
        <w:shd w:val="clear"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fill="FFFFFF"/>
    </w:tcPr>
    <w:tblStylePr w:type="firstRow">
      <w:rPr>
        <w:b/>
        <w:bCs/>
        <w:color w:val="000000"/>
      </w:rPr>
      <w:tblPr/>
      <w:tcPr>
        <w:tcBorders>
          <w:bottom w:val="single" w:sz="12" w:space="0" w:color="FFFFFF" w:themeColor="background1"/>
        </w:tcBorders>
        <w:shd w:val="clear" w:fill="FFFFFF"/>
      </w:tcPr>
    </w:tblStylePr>
    <w:tblStylePr w:type="lastRow">
      <w:rPr>
        <w:b/>
        <w:bCs/>
        <w:color w:val="000000"/>
      </w:rPr>
      <w:tblPr/>
      <w:tcPr>
        <w:tcBorders>
          <w:top w:val="single" w:sz="12" w:space="0" w:color="000000" w:themeColor="text1"/>
        </w:tcBorders>
        <w:shd w:val="clear"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fill="FFFFFF"/>
      </w:tcPr>
    </w:tblStylePr>
    <w:tblStylePr w:type="band1Horz">
      <w:tblPr/>
      <w:tcPr>
        <w:shd w:val="clear"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fill="FFFFFF"/>
    </w:tcPr>
    <w:tblStylePr w:type="firstRow">
      <w:rPr>
        <w:b/>
        <w:bCs/>
        <w:color w:val="000000"/>
      </w:rPr>
      <w:tblPr/>
      <w:tcPr>
        <w:tcBorders>
          <w:bottom w:val="single" w:sz="12" w:space="0" w:color="FFFFFF" w:themeColor="background1"/>
        </w:tcBorders>
        <w:shd w:val="clear" w:fill="FFFFFF"/>
      </w:tcPr>
    </w:tblStylePr>
    <w:tblStylePr w:type="lastRow">
      <w:rPr>
        <w:b/>
        <w:bCs/>
        <w:color w:val="000000"/>
      </w:rPr>
      <w:tblPr/>
      <w:tcPr>
        <w:tcBorders>
          <w:top w:val="single" w:sz="12" w:space="0" w:color="000000" w:themeColor="text1"/>
        </w:tcBorders>
        <w:shd w:val="clear"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fill="FFFFFF"/>
      </w:tcPr>
    </w:tblStylePr>
    <w:tblStylePr w:type="band1Horz">
      <w:tblPr/>
      <w:tcPr>
        <w:shd w:val="clear"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fill="FFFFFF"/>
    </w:tcPr>
    <w:tblStylePr w:type="firstRow">
      <w:rPr>
        <w:b/>
        <w:bCs/>
      </w:rPr>
      <w:tblPr/>
      <w:tcPr>
        <w:shd w:val="clear" w:fill="FFFFFF"/>
      </w:tcPr>
    </w:tblStylePr>
    <w:tblStylePr w:type="lastRow">
      <w:rPr>
        <w:b/>
        <w:bCs/>
        <w:color w:val="000000"/>
      </w:rPr>
      <w:tblPr/>
      <w:tcPr>
        <w:shd w:val="clear" w:fill="FFFFFF"/>
      </w:tcPr>
    </w:tblStylePr>
    <w:tblStylePr w:type="firstCol">
      <w:rPr>
        <w:color w:val="000000"/>
      </w:rPr>
      <w:tblPr/>
      <w:tcPr>
        <w:shd w:val="clear" w:fill="FFFFFF"/>
      </w:tcPr>
    </w:tblStylePr>
    <w:tblStylePr w:type="lastCol">
      <w:rPr>
        <w:color w:val="000000"/>
      </w:rPr>
      <w:tblPr/>
      <w:tcPr>
        <w:shd w:val="clear" w:fill="FFFFFF"/>
      </w:tcPr>
    </w:tblStylePr>
    <w:tblStylePr w:type="band1Vert">
      <w:tblPr/>
      <w:tcPr>
        <w:shd w:val="clear" w:fill="FFFFFF"/>
      </w:tcPr>
    </w:tblStylePr>
    <w:tblStylePr w:type="band1Horz">
      <w:tblPr/>
      <w:tcPr>
        <w:shd w:val="clear"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fill="FFFFFF"/>
    </w:tcPr>
    <w:tblStylePr w:type="firstRow">
      <w:rPr>
        <w:b/>
        <w:bCs/>
      </w:rPr>
      <w:tblPr/>
      <w:tcPr>
        <w:shd w:val="clear" w:fill="FFFFFF"/>
      </w:tcPr>
    </w:tblStylePr>
    <w:tblStylePr w:type="lastRow">
      <w:rPr>
        <w:b/>
        <w:bCs/>
        <w:color w:val="000000"/>
      </w:rPr>
      <w:tblPr/>
      <w:tcPr>
        <w:shd w:val="clear" w:fill="FFFFFF"/>
      </w:tcPr>
    </w:tblStylePr>
    <w:tblStylePr w:type="firstCol">
      <w:rPr>
        <w:color w:val="000000"/>
      </w:rPr>
      <w:tblPr/>
      <w:tcPr>
        <w:shd w:val="clear" w:fill="FFFFFF"/>
      </w:tcPr>
    </w:tblStylePr>
    <w:tblStylePr w:type="lastCol">
      <w:rPr>
        <w:color w:val="000000"/>
      </w:rPr>
      <w:tblPr/>
      <w:tcPr>
        <w:shd w:val="clear" w:fill="FFFFFF"/>
      </w:tcPr>
    </w:tblStylePr>
    <w:tblStylePr w:type="band1Vert">
      <w:tblPr/>
      <w:tcPr>
        <w:shd w:val="clear" w:fill="FFFFFF"/>
      </w:tcPr>
    </w:tblStylePr>
    <w:tblStylePr w:type="band1Horz">
      <w:tblPr/>
      <w:tcPr>
        <w:shd w:val="clear"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fill="FFFFFF"/>
    </w:tcPr>
    <w:tblStylePr w:type="firstRow">
      <w:rPr>
        <w:b/>
        <w:bCs/>
      </w:rPr>
      <w:tblPr/>
      <w:tcPr>
        <w:shd w:val="clear" w:fill="FFFFFF"/>
      </w:tcPr>
    </w:tblStylePr>
    <w:tblStylePr w:type="lastRow">
      <w:rPr>
        <w:b/>
        <w:bCs/>
        <w:color w:val="000000"/>
      </w:rPr>
      <w:tblPr/>
      <w:tcPr>
        <w:shd w:val="clear" w:fill="FFFFFF"/>
      </w:tcPr>
    </w:tblStylePr>
    <w:tblStylePr w:type="firstCol">
      <w:rPr>
        <w:color w:val="000000"/>
      </w:rPr>
      <w:tblPr/>
      <w:tcPr>
        <w:shd w:val="clear" w:fill="FFFFFF"/>
      </w:tcPr>
    </w:tblStylePr>
    <w:tblStylePr w:type="lastCol">
      <w:rPr>
        <w:color w:val="000000"/>
      </w:rPr>
      <w:tblPr/>
      <w:tcPr>
        <w:shd w:val="clear" w:fill="FFFFFF"/>
      </w:tcPr>
    </w:tblStylePr>
    <w:tblStylePr w:type="band1Vert">
      <w:tblPr/>
      <w:tcPr>
        <w:shd w:val="clear" w:fill="FFFFFF"/>
      </w:tcPr>
    </w:tblStylePr>
    <w:tblStylePr w:type="band1Horz">
      <w:tblPr/>
      <w:tcPr>
        <w:shd w:val="clear"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fill="FFFFFF"/>
    </w:tcPr>
    <w:tblStylePr w:type="firstRow">
      <w:rPr>
        <w:b/>
        <w:bCs/>
      </w:rPr>
      <w:tblPr/>
      <w:tcPr>
        <w:shd w:val="clear" w:fill="FFFFFF"/>
      </w:tcPr>
    </w:tblStylePr>
    <w:tblStylePr w:type="lastRow">
      <w:rPr>
        <w:b/>
        <w:bCs/>
        <w:color w:val="000000"/>
      </w:rPr>
      <w:tblPr/>
      <w:tcPr>
        <w:shd w:val="clear" w:fill="FFFFFF"/>
      </w:tcPr>
    </w:tblStylePr>
    <w:tblStylePr w:type="firstCol">
      <w:rPr>
        <w:color w:val="000000"/>
      </w:rPr>
      <w:tblPr/>
      <w:tcPr>
        <w:shd w:val="clear" w:fill="FFFFFF"/>
      </w:tcPr>
    </w:tblStylePr>
    <w:tblStylePr w:type="lastCol">
      <w:rPr>
        <w:color w:val="000000"/>
      </w:rPr>
      <w:tblPr/>
      <w:tcPr>
        <w:shd w:val="clear" w:fill="FFFFFF"/>
      </w:tcPr>
    </w:tblStylePr>
    <w:tblStylePr w:type="band1Vert">
      <w:tblPr/>
      <w:tcPr>
        <w:shd w:val="clear" w:fill="FFFFFF"/>
      </w:tcPr>
    </w:tblStylePr>
    <w:tblStylePr w:type="band1Horz">
      <w:tblPr/>
      <w:tcPr>
        <w:shd w:val="clear"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fill="FFFFFF"/>
    </w:tcPr>
    <w:tblStylePr w:type="firstRow">
      <w:rPr>
        <w:b/>
        <w:bCs/>
      </w:rPr>
      <w:tblPr/>
      <w:tcPr>
        <w:shd w:val="clear" w:fill="FFFFFF"/>
      </w:tcPr>
    </w:tblStylePr>
    <w:tblStylePr w:type="lastRow">
      <w:rPr>
        <w:b/>
        <w:bCs/>
        <w:color w:val="000000"/>
      </w:rPr>
      <w:tblPr/>
      <w:tcPr>
        <w:shd w:val="clear" w:fill="FFFFFF"/>
      </w:tcPr>
    </w:tblStylePr>
    <w:tblStylePr w:type="firstCol">
      <w:rPr>
        <w:color w:val="000000"/>
      </w:rPr>
      <w:tblPr/>
      <w:tcPr>
        <w:shd w:val="clear" w:fill="FFFFFF"/>
      </w:tcPr>
    </w:tblStylePr>
    <w:tblStylePr w:type="lastCol">
      <w:rPr>
        <w:color w:val="000000"/>
      </w:rPr>
      <w:tblPr/>
      <w:tcPr>
        <w:shd w:val="clear" w:fill="FFFFFF"/>
      </w:tcPr>
    </w:tblStylePr>
    <w:tblStylePr w:type="band1Vert">
      <w:tblPr/>
      <w:tcPr>
        <w:shd w:val="clear" w:fill="FFFFFF"/>
      </w:tcPr>
    </w:tblStylePr>
    <w:tblStylePr w:type="band1Horz">
      <w:tblPr/>
      <w:tcPr>
        <w:shd w:val="clear"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fill="FFFFFF"/>
    </w:tcPr>
    <w:tblStylePr w:type="firstRow">
      <w:rPr>
        <w:b/>
        <w:bCs/>
      </w:rPr>
      <w:tblPr/>
      <w:tcPr>
        <w:shd w:val="clear" w:fill="FFFFFF"/>
      </w:tcPr>
    </w:tblStylePr>
    <w:tblStylePr w:type="lastRow">
      <w:rPr>
        <w:b/>
        <w:bCs/>
        <w:color w:val="000000"/>
      </w:rPr>
      <w:tblPr/>
      <w:tcPr>
        <w:shd w:val="clear" w:fill="FFFFFF"/>
      </w:tcPr>
    </w:tblStylePr>
    <w:tblStylePr w:type="firstCol">
      <w:rPr>
        <w:color w:val="000000"/>
      </w:rPr>
      <w:tblPr/>
      <w:tcPr>
        <w:shd w:val="clear" w:fill="FFFFFF"/>
      </w:tcPr>
    </w:tblStylePr>
    <w:tblStylePr w:type="lastCol">
      <w:rPr>
        <w:color w:val="000000"/>
      </w:rPr>
      <w:tblPr/>
      <w:tcPr>
        <w:shd w:val="clear" w:fill="FFFFFF"/>
      </w:tcPr>
    </w:tblStylePr>
    <w:tblStylePr w:type="band1Vert">
      <w:tblPr/>
      <w:tcPr>
        <w:shd w:val="clear" w:fill="FFFFFF"/>
      </w:tcPr>
    </w:tblStylePr>
    <w:tblStylePr w:type="band1Horz">
      <w:tblPr/>
      <w:tcPr>
        <w:shd w:val="clear"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fill="FFFFFF"/>
    </w:tcPr>
    <w:tblStylePr w:type="firstRow">
      <w:rPr>
        <w:b/>
        <w:bCs/>
      </w:rPr>
      <w:tblPr/>
      <w:tcPr>
        <w:shd w:val="clear" w:fill="FFFFFF"/>
      </w:tcPr>
    </w:tblStylePr>
    <w:tblStylePr w:type="lastRow">
      <w:rPr>
        <w:b/>
        <w:bCs/>
        <w:color w:val="000000"/>
      </w:rPr>
      <w:tblPr/>
      <w:tcPr>
        <w:shd w:val="clear" w:fill="FFFFFF"/>
      </w:tcPr>
    </w:tblStylePr>
    <w:tblStylePr w:type="firstCol">
      <w:rPr>
        <w:color w:val="000000"/>
      </w:rPr>
      <w:tblPr/>
      <w:tcPr>
        <w:shd w:val="clear" w:fill="FFFFFF"/>
      </w:tcPr>
    </w:tblStylePr>
    <w:tblStylePr w:type="lastCol">
      <w:rPr>
        <w:color w:val="000000"/>
      </w:rPr>
      <w:tblPr/>
      <w:tcPr>
        <w:shd w:val="clear" w:fill="FFFFFF"/>
      </w:tcPr>
    </w:tblStylePr>
    <w:tblStylePr w:type="band1Vert">
      <w:tblPr/>
      <w:tcPr>
        <w:shd w:val="clear" w:fill="FFFFFF"/>
      </w:tcPr>
    </w:tblStylePr>
    <w:tblStylePr w:type="band1Horz">
      <w:tblPr/>
      <w:tcPr>
        <w:shd w:val="clear" w:fill="FFFFFF"/>
      </w:tcPr>
    </w:tblStylePr>
  </w:style>
</w:styles>
</file>

<file path=word/stylesWithEffect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sz w:val="24"/>
        <w:szCs w:val="24"/>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40" w:lineRule="auto"/>
    </w:pPr>
    <w:rPr>
      <w:rFonts w:ascii="Arial" w:hAnsi="Arial" w:eastAsia="Arial" w:cs="Arial"/>
      <w:color w:val="000000"/>
      <w:sz w:val="24"/>
      <w:szCs w:val="24"/>
    </w:rPr>
  </w:style>
  <w:style w:type="paragraph" w:styleId="Header">
    <w:name w:val="header"/>
    <w:basedOn w:val="Normal"/>
    <w:link w:val="HeaderChar"/>
    <w:uiPriority w:val="99"/>
    <w:unhideWhenUsed/>
    <w:rsid w:val="00E618BF"/>
    <w:pPr>
      <w:tabs>
        <w:tab w:val="center" w:pos="4680"/>
        <w:tab w:val="right" w:pos="9360"/>
      </w:tabs>
      <w:spacing w:after="120" w:line="264" w:lineRule="auto"/>
    </w:pPr>
    <w:rPr>
      <w:rFonts w:ascii="Arial" w:hAnsi="Arial" w:eastAsia="Arial" w:cs="Arial"/>
      <w:color w:val="000000"/>
      <w:sz w:val="24"/>
      <w:szCs w:val="24"/>
    </w:rPr>
  </w:style>
  <w:style w:type="character" w:customStyle="1" w:styleId="HeaderChar">
    <w:name w:val="Header Char"/>
    <w:basedOn w:val="DefaultParagraphFont"/>
    <w:link w:val="Header"/>
    <w:uiPriority w:val="99"/>
    <w:rsid w:val="00E618BF"/>
    <w:rPr>
      <w:rFonts w:ascii="Arial" w:hAnsi="Arial" w:eastAsia="Arial" w:cs="Arial"/>
      <w:color w:val="000000"/>
      <w:sz w:val="24"/>
      <w:szCs w:val="24"/>
    </w:rPr>
  </w:style>
  <w:style w:type="paragraph" w:styleId="Footer">
    <w:name w:val="footer"/>
    <w:basedOn w:val="Normal"/>
    <w:link w:val="FooterChar"/>
    <w:uiPriority w:val="99"/>
    <w:unhideWhenUsed/>
    <w:rsid w:val="00E618BF"/>
    <w:pPr>
      <w:tabs>
        <w:tab w:val="center" w:pos="4680"/>
        <w:tab w:val="right" w:pos="9360"/>
      </w:tabs>
      <w:spacing w:after="120" w:line="264" w:lineRule="auto"/>
    </w:pPr>
    <w:rPr>
      <w:rFonts w:ascii="Arial" w:hAnsi="Arial" w:eastAsia="Arial" w:cs="Arial"/>
      <w:color w:val="000000"/>
      <w:sz w:val="24"/>
      <w:szCs w:val="24"/>
    </w:rPr>
  </w:style>
  <w:style w:type="character" w:customStyle="1" w:styleId="FooterChar">
    <w:name w:val="Footer Char"/>
    <w:basedOn w:val="DefaultParagraphFont"/>
    <w:link w:val="Footer"/>
    <w:uiPriority w:val="99"/>
    <w:rsid w:val="00E618BF"/>
    <w:rPr>
      <w:rFonts w:ascii="Arial" w:hAnsi="Arial" w:eastAsia="Arial" w:cs="Arial"/>
      <w:color w:val="000000"/>
      <w:sz w:val="24"/>
      <w:szCs w:val="24"/>
    </w:rPr>
  </w:style>
  <w:style w:type="paragraph" w:styleId="Heading1">
    <w:name w:val="heading 1"/>
    <w:basedOn w:val="Normal"/>
    <w:next w:val="Normal"/>
    <w:link w:val="Heading1Char"/>
    <w:uiPriority w:val="9"/>
    <w:qFormat/>
    <w:rsid w:val="00FC693F"/>
    <w:pPr>
      <w:keepNext/>
      <w:keepLines/>
      <w:spacing w:before="180" w:after="100" w:line="240" w:lineRule="auto"/>
      <w:outlineLvl w:val="0"/>
    </w:pPr>
    <w:rPr>
      <w:rFonts w:ascii="Arial" w:hAnsi="Arial" w:eastAsia="Arial" w:cs="Arial"/>
      <w:b/>
      <w:bCs/>
      <w:color w:val="000000"/>
      <w:sz w:val="24"/>
      <w:szCs w:val="24"/>
    </w:rPr>
  </w:style>
  <w:style w:type="paragraph" w:styleId="Heading2">
    <w:name w:val="heading 2"/>
    <w:basedOn w:val="Normal"/>
    <w:next w:val="Normal"/>
    <w:link w:val="Heading2Char"/>
    <w:uiPriority w:val="9"/>
    <w:unhideWhenUsed/>
    <w:qFormat/>
    <w:rsid w:val="00FC693F"/>
    <w:pPr>
      <w:keepNext/>
      <w:keepLines/>
      <w:spacing w:before="180" w:after="100" w:line="240" w:lineRule="auto"/>
      <w:outlineLvl w:val="1"/>
    </w:pPr>
    <w:rPr>
      <w:rFonts w:ascii="Arial" w:hAnsi="Arial" w:eastAsia="Arial" w:cs="Arial"/>
      <w:b/>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180" w:after="100" w:line="240" w:lineRule="auto"/>
      <w:outlineLvl w:val="2"/>
    </w:pPr>
    <w:rPr>
      <w:rFonts w:ascii="Arial" w:hAnsi="Arial" w:eastAsia="Arial" w:cs="Arial"/>
      <w:b/>
      <w:b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120" w:line="264" w:lineRule="auto"/>
      <w:outlineLvl w:val="3"/>
    </w:pPr>
    <w:rPr>
      <w:rFonts w:ascii="Arial" w:hAnsi="Arial" w:eastAsia="Arial" w:cs="Arial"/>
      <w:b/>
      <w:bCs/>
      <w:i/>
      <w:iCs/>
      <w:color w:val="000000"/>
      <w:sz w:val="24"/>
      <w:szCs w:val="24"/>
    </w:rPr>
  </w:style>
  <w:style w:type="paragraph" w:styleId="Heading5">
    <w:name w:val="heading 5"/>
    <w:basedOn w:val="Normal"/>
    <w:next w:val="Normal"/>
    <w:link w:val="Heading5Char"/>
    <w:uiPriority w:val="9"/>
    <w:semiHidden/>
    <w:unhideWhenUsed/>
    <w:qFormat/>
    <w:rsid w:val="00FC693F"/>
    <w:pPr>
      <w:keepNext/>
      <w:keepLines/>
      <w:spacing w:before="200" w:after="120" w:line="264" w:lineRule="auto"/>
      <w:outlineLvl w:val="4"/>
    </w:pPr>
    <w:rPr>
      <w:rFonts w:ascii="Arial" w:hAnsi="Arial" w:eastAsia="Arial" w:cs="Arial"/>
      <w:color w:val="000000"/>
      <w:sz w:val="24"/>
      <w:szCs w:val="24"/>
    </w:rPr>
  </w:style>
  <w:style w:type="paragraph" w:styleId="Heading6">
    <w:name w:val="heading 6"/>
    <w:basedOn w:val="Normal"/>
    <w:next w:val="Normal"/>
    <w:link w:val="Heading6Char"/>
    <w:uiPriority w:val="9"/>
    <w:semiHidden/>
    <w:unhideWhenUsed/>
    <w:qFormat/>
    <w:rsid w:val="00FC693F"/>
    <w:pPr>
      <w:keepNext/>
      <w:keepLines/>
      <w:spacing w:before="200" w:after="120" w:line="264" w:lineRule="auto"/>
      <w:outlineLvl w:val="5"/>
    </w:pPr>
    <w:rPr>
      <w:rFonts w:ascii="Arial" w:hAnsi="Arial" w:eastAsia="Arial" w:cs="Arial"/>
      <w:i/>
      <w:iCs/>
      <w:color w:val="000000"/>
      <w:sz w:val="24"/>
      <w:szCs w:val="24"/>
    </w:rPr>
  </w:style>
  <w:style w:type="paragraph" w:styleId="Heading7">
    <w:name w:val="heading 7"/>
    <w:basedOn w:val="Normal"/>
    <w:next w:val="Normal"/>
    <w:link w:val="Heading7Char"/>
    <w:uiPriority w:val="9"/>
    <w:semiHidden/>
    <w:unhideWhenUsed/>
    <w:qFormat/>
    <w:rsid w:val="00FC693F"/>
    <w:pPr>
      <w:keepNext/>
      <w:keepLines/>
      <w:spacing w:before="200" w:after="120" w:line="264" w:lineRule="auto"/>
      <w:outlineLvl w:val="6"/>
    </w:pPr>
    <w:rPr>
      <w:rFonts w:ascii="Arial" w:hAnsi="Arial" w:eastAsia="Arial" w:cs="Arial"/>
      <w:i/>
      <w:iCs/>
      <w:color w:val="000000"/>
      <w:sz w:val="24"/>
      <w:szCs w:val="24"/>
    </w:rPr>
  </w:style>
  <w:style w:type="paragraph" w:styleId="Heading8">
    <w:name w:val="heading 8"/>
    <w:basedOn w:val="Normal"/>
    <w:next w:val="Normal"/>
    <w:link w:val="Heading8Char"/>
    <w:uiPriority w:val="9"/>
    <w:semiHidden/>
    <w:unhideWhenUsed/>
    <w:qFormat/>
    <w:rsid w:val="00FC693F"/>
    <w:pPr>
      <w:keepNext/>
      <w:keepLines/>
      <w:spacing w:before="200" w:after="120" w:line="264" w:lineRule="auto"/>
      <w:outlineLvl w:val="7"/>
    </w:pPr>
    <w:rPr>
      <w:rFonts w:ascii="Arial" w:hAnsi="Arial" w:eastAsia="Arial" w:cs="Arial"/>
      <w:color w:val="000000"/>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120" w:line="264" w:lineRule="auto"/>
      <w:outlineLvl w:val="8"/>
    </w:pPr>
    <w:rPr>
      <w:rFonts w:ascii="Arial" w:hAnsi="Arial" w:eastAsia="Arial" w:cs="Arial"/>
      <w:i/>
      <w:iCs/>
      <w:color w:val="000000"/>
      <w:sz w:val="24"/>
      <w:szCs w:val="24"/>
    </w:rPr>
  </w:style>
  <w:style w:type="character" w:default="1" w:styleId="DefaultParagraphFont">
    <w:name w:val="Default Paragraph Font"/>
    <w:uiPriority w:val="1"/>
    <w:semiHidden/>
    <w:unhideWhenUsed/>
    <w:rPr>
      <w:rFonts w:ascii="Arial" w:hAnsi="Arial" w:eastAsia="Arial" w:cs="Arial"/>
      <w:color w:val="000000"/>
      <w:sz w:val="24"/>
      <w:szCs w:val="24"/>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64" w:lineRule="auto"/>
    </w:pPr>
    <w:rPr>
      <w:rFonts w:ascii="Arial" w:hAnsi="Arial" w:eastAsia="Arial" w:cs="Arial"/>
      <w:color w:val="000000"/>
      <w:sz w:val="24"/>
      <w:szCs w:val="24"/>
    </w:rPr>
  </w:style>
  <w:style w:type="character" w:customStyle="1" w:styleId="Heading1Char">
    <w:name w:val="Heading 1 Char"/>
    <w:basedOn w:val="DefaultParagraphFont"/>
    <w:link w:val="Heading1"/>
    <w:uiPriority w:val="9"/>
    <w:rsid w:val="00FC693F"/>
    <w:rPr>
      <w:rFonts w:ascii="Arial" w:hAnsi="Arial" w:eastAsia="Arial" w:cs="Arial"/>
      <w:b/>
      <w:bCs/>
      <w:color w:val="000000"/>
      <w:sz w:val="24"/>
      <w:szCs w:val="24"/>
    </w:rPr>
  </w:style>
  <w:style w:type="character" w:customStyle="1" w:styleId="Heading2Char">
    <w:name w:val="Heading 2 Char"/>
    <w:basedOn w:val="DefaultParagraphFont"/>
    <w:link w:val="Heading2"/>
    <w:uiPriority w:val="9"/>
    <w:rsid w:val="00FC693F"/>
    <w:rPr>
      <w:rFonts w:ascii="Arial" w:hAnsi="Arial" w:eastAsia="Arial" w:cs="Arial"/>
      <w:b/>
      <w:bCs/>
      <w:color w:val="000000"/>
      <w:sz w:val="24"/>
      <w:szCs w:val="24"/>
    </w:rPr>
  </w:style>
  <w:style w:type="character" w:customStyle="1" w:styleId="Heading3Char">
    <w:name w:val="Heading 3 Char"/>
    <w:basedOn w:val="DefaultParagraphFont"/>
    <w:link w:val="Heading3"/>
    <w:uiPriority w:val="9"/>
    <w:rsid w:val="00FC693F"/>
    <w:rPr>
      <w:rFonts w:ascii="Arial" w:hAnsi="Arial" w:eastAsia="Arial" w:cs="Arial"/>
      <w:b/>
      <w:bCs/>
      <w:color w:val="000000"/>
      <w:sz w:val="24"/>
      <w:szCs w:val="24"/>
    </w:rPr>
  </w:style>
  <w:style w:type="paragraph" w:styleId="Title">
    <w:name w:val="Title"/>
    <w:basedOn w:val="Normal"/>
    <w:next w:val="Normal"/>
    <w:link w:val="TitleChar"/>
    <w:uiPriority w:val="10"/>
    <w:qFormat/>
    <w:rsid w:val="00FC693F"/>
    <w:pPr>
      <w:keepNext/>
      <w:spacing w:after="100" w:line="240" w:lineRule="auto" w:before="240"/>
      <w:contextualSpacing/>
    </w:pPr>
    <w:rPr>
      <w:rFonts w:ascii="Arial" w:hAnsi="Arial" w:eastAsia="Arial" w:cs="Arial"/>
      <w:b/>
      <w:color w:val="000000"/>
      <w:spacing w:val="5"/>
      <w:kern w:val="28"/>
      <w:sz w:val="24"/>
      <w:szCs w:val="24"/>
    </w:rPr>
  </w:style>
  <w:style w:type="character" w:customStyle="1" w:styleId="TitleChar">
    <w:name w:val="Title Char"/>
    <w:basedOn w:val="DefaultParagraphFont"/>
    <w:link w:val="Title"/>
    <w:uiPriority w:val="10"/>
    <w:rsid w:val="00FC693F"/>
    <w:rPr>
      <w:rFonts w:ascii="Arial" w:hAnsi="Arial" w:eastAsia="Arial" w:cs="Arial"/>
      <w:color w:val="000000"/>
      <w:spacing w:val="5"/>
      <w:kern w:val="28"/>
      <w:sz w:val="24"/>
      <w:szCs w:val="24"/>
    </w:rPr>
  </w:style>
  <w:style w:type="paragraph" w:styleId="Subtitle">
    <w:name w:val="Subtitle"/>
    <w:basedOn w:val="Normal"/>
    <w:next w:val="Normal"/>
    <w:link w:val="SubtitleChar"/>
    <w:uiPriority w:val="11"/>
    <w:qFormat/>
    <w:rsid w:val="00FC693F"/>
    <w:pPr>
      <w:keepNext/>
      <w:numPr>
        <w:ilvl w:val="1"/>
      </w:numPr>
      <w:spacing w:after="100" w:line="240" w:lineRule="auto" w:before="240"/>
    </w:pPr>
    <w:rPr>
      <w:rFonts w:ascii="Arial" w:hAnsi="Arial" w:eastAsia="Arial" w:cs="Arial"/>
      <w:b/>
      <w:i/>
      <w:iCs/>
      <w:color w:val="000000"/>
      <w:spacing w:val="15"/>
      <w:sz w:val="24"/>
      <w:szCs w:val="24"/>
    </w:rPr>
  </w:style>
  <w:style w:type="character" w:customStyle="1" w:styleId="SubtitleChar">
    <w:name w:val="Subtitle Char"/>
    <w:basedOn w:val="DefaultParagraphFont"/>
    <w:link w:val="Subtitle"/>
    <w:uiPriority w:val="11"/>
    <w:rsid w:val="00FC693F"/>
    <w:rPr>
      <w:rFonts w:ascii="Arial" w:hAnsi="Arial" w:eastAsia="Arial" w:cs="Arial"/>
      <w:i/>
      <w:iCs/>
      <w:color w:val="000000"/>
      <w:spacing w:val="15"/>
      <w:sz w:val="24"/>
      <w:szCs w:val="24"/>
    </w:rPr>
  </w:style>
  <w:style w:type="paragraph" w:styleId="ListParagraph">
    <w:name w:val="List Paragraph"/>
    <w:basedOn w:val="Normal"/>
    <w:uiPriority w:val="34"/>
    <w:qFormat/>
    <w:rsid w:val="00FC693F"/>
    <w:pPr>
      <w:spacing w:after="120" w:line="264" w:lineRule="auto"/>
      <w:ind w:left="720"/>
      <w:contextualSpacing/>
    </w:pPr>
    <w:rPr>
      <w:rFonts w:ascii="Arial" w:hAnsi="Arial" w:eastAsia="Arial" w:cs="Arial"/>
      <w:color w:val="000000"/>
      <w:sz w:val="24"/>
      <w:szCs w:val="24"/>
    </w:rPr>
  </w:style>
  <w:style w:type="paragraph" w:styleId="BodyText">
    <w:name w:val="Body Text"/>
    <w:basedOn w:val="Normal"/>
    <w:link w:val="BodyTextChar"/>
    <w:uiPriority w:val="99"/>
    <w:unhideWhenUsed/>
    <w:rsid w:val="00AA1D8D"/>
    <w:pPr>
      <w:spacing w:after="100" w:line="240" w:lineRule="auto"/>
    </w:pPr>
    <w:rPr>
      <w:rFonts w:ascii="Arial" w:hAnsi="Arial" w:eastAsia="Arial" w:cs="Arial"/>
      <w:color w:val="000000"/>
      <w:sz w:val="24"/>
      <w:szCs w:val="24"/>
    </w:rPr>
  </w:style>
  <w:style w:type="character" w:customStyle="1" w:styleId="BodyTextChar">
    <w:name w:val="Body Text Char"/>
    <w:basedOn w:val="DefaultParagraphFont"/>
    <w:link w:val="BodyText"/>
    <w:uiPriority w:val="99"/>
    <w:rsid w:val="00AA1D8D"/>
    <w:rPr>
      <w:rFonts w:ascii="Arial" w:hAnsi="Arial" w:eastAsia="Arial" w:cs="Arial"/>
      <w:color w:val="000000"/>
      <w:sz w:val="24"/>
      <w:szCs w:val="24"/>
    </w:rPr>
  </w:style>
  <w:style w:type="paragraph" w:styleId="BodyText2">
    <w:name w:val="Body Text 2"/>
    <w:basedOn w:val="Normal"/>
    <w:link w:val="BodyText2Char"/>
    <w:uiPriority w:val="99"/>
    <w:unhideWhenUsed/>
    <w:rsid w:val="00AA1D8D"/>
    <w:pPr>
      <w:spacing w:after="120" w:line="264" w:lineRule="auto"/>
    </w:pPr>
    <w:rPr>
      <w:rFonts w:ascii="Arial" w:hAnsi="Arial" w:eastAsia="Arial" w:cs="Arial"/>
      <w:color w:val="000000"/>
      <w:sz w:val="24"/>
      <w:szCs w:val="24"/>
    </w:rPr>
  </w:style>
  <w:style w:type="character" w:customStyle="1" w:styleId="BodyText2Char">
    <w:name w:val="Body Text 2 Char"/>
    <w:basedOn w:val="DefaultParagraphFont"/>
    <w:link w:val="BodyText2"/>
    <w:uiPriority w:val="99"/>
    <w:rsid w:val="00AA1D8D"/>
    <w:rPr>
      <w:rFonts w:ascii="Arial" w:hAnsi="Arial" w:eastAsia="Arial" w:cs="Arial"/>
      <w:color w:val="000000"/>
      <w:sz w:val="24"/>
      <w:szCs w:val="24"/>
    </w:rPr>
  </w:style>
  <w:style w:type="paragraph" w:styleId="BodyText3">
    <w:name w:val="Body Text 3"/>
    <w:basedOn w:val="Normal"/>
    <w:link w:val="BodyText3Char"/>
    <w:uiPriority w:val="99"/>
    <w:unhideWhenUsed/>
    <w:rsid w:val="00AA1D8D"/>
    <w:pPr>
      <w:spacing w:after="120" w:line="264" w:lineRule="auto"/>
    </w:pPr>
    <w:rPr>
      <w:rFonts w:ascii="Arial" w:hAnsi="Arial" w:eastAsia="Arial" w:cs="Arial"/>
      <w:color w:val="000000"/>
      <w:sz w:val="24"/>
      <w:szCs w:val="24"/>
    </w:rPr>
  </w:style>
  <w:style w:type="character" w:customStyle="1" w:styleId="BodyText3Char">
    <w:name w:val="Body Text 3 Char"/>
    <w:basedOn w:val="DefaultParagraphFont"/>
    <w:link w:val="BodyText3"/>
    <w:uiPriority w:val="99"/>
    <w:rsid w:val="00AA1D8D"/>
    <w:rPr>
      <w:rFonts w:ascii="Arial" w:hAnsi="Arial" w:eastAsia="Arial" w:cs="Arial"/>
      <w:color w:val="000000"/>
      <w:sz w:val="24"/>
      <w:szCs w:val="24"/>
    </w:rPr>
  </w:style>
  <w:style w:type="paragraph" w:styleId="List">
    <w:name w:val="List"/>
    <w:basedOn w:val="Normal"/>
    <w:uiPriority w:val="99"/>
    <w:unhideWhenUsed/>
    <w:rsid w:val="00AA1D8D"/>
    <w:pPr>
      <w:spacing w:after="120" w:line="264" w:lineRule="auto"/>
      <w:ind w:left="360" w:hanging="360"/>
      <w:contextualSpacing/>
    </w:pPr>
    <w:rPr>
      <w:rFonts w:ascii="Arial" w:hAnsi="Arial" w:eastAsia="Arial" w:cs="Arial"/>
      <w:color w:val="000000"/>
      <w:sz w:val="24"/>
      <w:szCs w:val="24"/>
    </w:rPr>
  </w:style>
  <w:style w:type="paragraph" w:styleId="List2">
    <w:name w:val="List 2"/>
    <w:basedOn w:val="Normal"/>
    <w:uiPriority w:val="99"/>
    <w:unhideWhenUsed/>
    <w:rsid w:val="00326F90"/>
    <w:pPr>
      <w:spacing w:after="120" w:line="264" w:lineRule="auto"/>
      <w:ind w:left="720" w:hanging="360"/>
      <w:contextualSpacing/>
    </w:pPr>
    <w:rPr>
      <w:rFonts w:ascii="Arial" w:hAnsi="Arial" w:eastAsia="Arial" w:cs="Arial"/>
      <w:color w:val="000000"/>
      <w:sz w:val="24"/>
      <w:szCs w:val="24"/>
    </w:rPr>
  </w:style>
  <w:style w:type="paragraph" w:styleId="List3">
    <w:name w:val="List 3"/>
    <w:basedOn w:val="Normal"/>
    <w:uiPriority w:val="99"/>
    <w:unhideWhenUsed/>
    <w:rsid w:val="00326F90"/>
    <w:pPr>
      <w:spacing w:after="120" w:line="264" w:lineRule="auto"/>
      <w:ind w:left="1080" w:hanging="360"/>
      <w:contextualSpacing/>
    </w:pPr>
    <w:rPr>
      <w:rFonts w:ascii="Arial" w:hAnsi="Arial" w:eastAsia="Arial" w:cs="Arial"/>
      <w:color w:val="000000"/>
      <w:sz w:val="24"/>
      <w:szCs w:val="24"/>
    </w:rPr>
  </w:style>
  <w:style w:type="paragraph" w:styleId="ListBullet">
    <w:name w:val="List Bullet"/>
    <w:basedOn w:val="Normal"/>
    <w:uiPriority w:val="99"/>
    <w:unhideWhenUsed/>
    <w:rsid w:val="00326F90"/>
    <w:pPr>
      <w:numPr>
        <w:numId w:val="1"/>
      </w:numPr>
      <w:spacing w:after="120" w:line="264" w:lineRule="auto"/>
      <w:contextualSpacing/>
    </w:pPr>
    <w:rPr>
      <w:rFonts w:ascii="Arial" w:hAnsi="Arial" w:eastAsia="Arial" w:cs="Arial"/>
      <w:color w:val="000000"/>
      <w:sz w:val="24"/>
      <w:szCs w:val="24"/>
    </w:rPr>
  </w:style>
  <w:style w:type="paragraph" w:styleId="ListBullet2">
    <w:name w:val="List Bullet 2"/>
    <w:basedOn w:val="Normal"/>
    <w:uiPriority w:val="99"/>
    <w:unhideWhenUsed/>
    <w:rsid w:val="00326F90"/>
    <w:pPr>
      <w:numPr>
        <w:numId w:val="2"/>
      </w:numPr>
      <w:spacing w:after="120" w:line="264" w:lineRule="auto"/>
      <w:contextualSpacing/>
    </w:pPr>
    <w:rPr>
      <w:rFonts w:ascii="Arial" w:hAnsi="Arial" w:eastAsia="Arial" w:cs="Arial"/>
      <w:color w:val="000000"/>
      <w:sz w:val="24"/>
      <w:szCs w:val="24"/>
    </w:rPr>
  </w:style>
  <w:style w:type="paragraph" w:styleId="ListBullet3">
    <w:name w:val="List Bullet 3"/>
    <w:basedOn w:val="Normal"/>
    <w:uiPriority w:val="99"/>
    <w:unhideWhenUsed/>
    <w:rsid w:val="00326F90"/>
    <w:pPr>
      <w:numPr>
        <w:numId w:val="3"/>
      </w:numPr>
      <w:spacing w:after="120" w:line="264" w:lineRule="auto"/>
      <w:contextualSpacing/>
    </w:pPr>
    <w:rPr>
      <w:rFonts w:ascii="Arial" w:hAnsi="Arial" w:eastAsia="Arial" w:cs="Arial"/>
      <w:color w:val="000000"/>
      <w:sz w:val="24"/>
      <w:szCs w:val="24"/>
    </w:rPr>
  </w:style>
  <w:style w:type="paragraph" w:styleId="ListNumber">
    <w:name w:val="List Number"/>
    <w:basedOn w:val="Normal"/>
    <w:uiPriority w:val="99"/>
    <w:unhideWhenUsed/>
    <w:rsid w:val="00326F90"/>
    <w:pPr>
      <w:numPr>
        <w:numId w:val="5"/>
      </w:numPr>
      <w:spacing w:after="120" w:line="264" w:lineRule="auto"/>
      <w:contextualSpacing/>
    </w:pPr>
    <w:rPr>
      <w:rFonts w:ascii="Arial" w:hAnsi="Arial" w:eastAsia="Arial" w:cs="Arial"/>
      <w:color w:val="000000"/>
      <w:sz w:val="24"/>
      <w:szCs w:val="24"/>
    </w:rPr>
  </w:style>
  <w:style w:type="paragraph" w:styleId="ListNumber2">
    <w:name w:val="List Number 2"/>
    <w:basedOn w:val="Normal"/>
    <w:uiPriority w:val="99"/>
    <w:unhideWhenUsed/>
    <w:rsid w:val="0029639D"/>
    <w:pPr>
      <w:numPr>
        <w:numId w:val="6"/>
      </w:numPr>
      <w:spacing w:after="120" w:line="264" w:lineRule="auto"/>
      <w:contextualSpacing/>
    </w:pPr>
    <w:rPr>
      <w:rFonts w:ascii="Arial" w:hAnsi="Arial" w:eastAsia="Arial" w:cs="Arial"/>
      <w:color w:val="000000"/>
      <w:sz w:val="24"/>
      <w:szCs w:val="24"/>
    </w:rPr>
  </w:style>
  <w:style w:type="paragraph" w:styleId="ListNumber3">
    <w:name w:val="List Number 3"/>
    <w:basedOn w:val="Normal"/>
    <w:uiPriority w:val="99"/>
    <w:unhideWhenUsed/>
    <w:rsid w:val="0029639D"/>
    <w:pPr>
      <w:numPr>
        <w:numId w:val="7"/>
      </w:numPr>
      <w:spacing w:after="120" w:line="264" w:lineRule="auto"/>
      <w:contextualSpacing/>
    </w:pPr>
    <w:rPr>
      <w:rFonts w:ascii="Arial" w:hAnsi="Arial" w:eastAsia="Arial" w:cs="Arial"/>
      <w:color w:val="000000"/>
      <w:sz w:val="24"/>
      <w:szCs w:val="24"/>
    </w:rPr>
  </w:style>
  <w:style w:type="paragraph" w:styleId="ListContinue">
    <w:name w:val="List Continue"/>
    <w:basedOn w:val="Normal"/>
    <w:uiPriority w:val="99"/>
    <w:unhideWhenUsed/>
    <w:rsid w:val="0029639D"/>
    <w:pPr>
      <w:spacing w:after="120" w:line="264" w:lineRule="auto"/>
      <w:ind w:left="360"/>
      <w:contextualSpacing/>
    </w:pPr>
    <w:rPr>
      <w:rFonts w:ascii="Arial" w:hAnsi="Arial" w:eastAsia="Arial" w:cs="Arial"/>
      <w:color w:val="000000"/>
      <w:sz w:val="24"/>
      <w:szCs w:val="24"/>
    </w:rPr>
  </w:style>
  <w:style w:type="paragraph" w:styleId="ListContinue2">
    <w:name w:val="List Continue 2"/>
    <w:basedOn w:val="Normal"/>
    <w:uiPriority w:val="99"/>
    <w:unhideWhenUsed/>
    <w:rsid w:val="0029639D"/>
    <w:pPr>
      <w:spacing w:after="120" w:line="264" w:lineRule="auto"/>
      <w:ind w:left="720"/>
      <w:contextualSpacing/>
    </w:pPr>
    <w:rPr>
      <w:rFonts w:ascii="Arial" w:hAnsi="Arial" w:eastAsia="Arial" w:cs="Arial"/>
      <w:color w:val="000000"/>
      <w:sz w:val="24"/>
      <w:szCs w:val="24"/>
    </w:rPr>
  </w:style>
  <w:style w:type="paragraph" w:styleId="ListContinue3">
    <w:name w:val="List Continue 3"/>
    <w:basedOn w:val="Normal"/>
    <w:uiPriority w:val="99"/>
    <w:unhideWhenUsed/>
    <w:rsid w:val="0029639D"/>
    <w:pPr>
      <w:spacing w:after="120" w:line="264" w:lineRule="auto"/>
      <w:ind w:left="1080"/>
      <w:contextualSpacing/>
    </w:pPr>
    <w:rPr>
      <w:rFonts w:ascii="Arial" w:hAnsi="Arial" w:eastAsia="Arial" w:cs="Arial"/>
      <w:color w:val="000000"/>
      <w:sz w:val="24"/>
      <w:szCs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64" w:lineRule="auto"/>
    </w:pPr>
    <w:rPr>
      <w:rFonts w:ascii="Arial" w:hAnsi="Arial" w:eastAsia="Arial" w:cs="Arial"/>
      <w:color w:val="000000"/>
      <w:sz w:val="24"/>
      <w:szCs w:val="24"/>
    </w:rPr>
  </w:style>
  <w:style w:type="character" w:customStyle="1" w:styleId="MacroTextChar">
    <w:name w:val="Macro Text Char"/>
    <w:basedOn w:val="DefaultParagraphFont"/>
    <w:link w:val="MacroText"/>
    <w:uiPriority w:val="99"/>
    <w:rsid w:val="0029639D"/>
    <w:rPr>
      <w:rFonts w:ascii="Arial" w:hAnsi="Arial" w:eastAsia="Arial" w:cs="Arial"/>
      <w:color w:val="000000"/>
      <w:sz w:val="24"/>
      <w:szCs w:val="24"/>
    </w:rPr>
  </w:style>
  <w:style w:type="paragraph" w:styleId="Quote">
    <w:name w:val="Quote"/>
    <w:basedOn w:val="Normal"/>
    <w:next w:val="Normal"/>
    <w:link w:val="QuoteChar"/>
    <w:uiPriority w:val="29"/>
    <w:qFormat/>
    <w:rsid w:val="00FC693F"/>
    <w:pPr>
      <w:spacing w:after="120" w:line="264" w:lineRule="auto"/>
    </w:pPr>
    <w:rPr>
      <w:rFonts w:ascii="Arial" w:hAnsi="Arial" w:eastAsia="Arial" w:cs="Arial"/>
      <w:i/>
      <w:iCs/>
      <w:color w:val="000000"/>
      <w:sz w:val="24"/>
      <w:szCs w:val="24"/>
    </w:rPr>
  </w:style>
  <w:style w:type="character" w:customStyle="1" w:styleId="QuoteChar">
    <w:name w:val="Quote Char"/>
    <w:basedOn w:val="DefaultParagraphFont"/>
    <w:link w:val="Quote"/>
    <w:uiPriority w:val="29"/>
    <w:rsid w:val="00FC693F"/>
    <w:rPr>
      <w:rFonts w:ascii="Arial" w:hAnsi="Arial" w:eastAsia="Arial" w:cs="Arial"/>
      <w:i/>
      <w:iCs/>
      <w:color w:val="000000"/>
      <w:sz w:val="24"/>
      <w:szCs w:val="24"/>
    </w:rPr>
  </w:style>
  <w:style w:type="character" w:customStyle="1" w:styleId="Heading4Char">
    <w:name w:val="Heading 4 Char"/>
    <w:basedOn w:val="DefaultParagraphFont"/>
    <w:link w:val="Heading4"/>
    <w:uiPriority w:val="9"/>
    <w:semiHidden/>
    <w:rsid w:val="00FC693F"/>
    <w:rPr>
      <w:rFonts w:ascii="Arial" w:hAnsi="Arial" w:eastAsia="Arial" w:cs="Arial"/>
      <w:b/>
      <w:bCs/>
      <w:i/>
      <w:iCs/>
      <w:color w:val="000000"/>
      <w:sz w:val="24"/>
      <w:szCs w:val="24"/>
    </w:rPr>
  </w:style>
  <w:style w:type="character" w:customStyle="1" w:styleId="Heading5Char">
    <w:name w:val="Heading 5 Char"/>
    <w:basedOn w:val="DefaultParagraphFont"/>
    <w:link w:val="Heading5"/>
    <w:uiPriority w:val="9"/>
    <w:semiHidden/>
    <w:rsid w:val="00FC693F"/>
    <w:rPr>
      <w:rFonts w:ascii="Arial" w:hAnsi="Arial" w:eastAsia="Arial" w:cs="Arial"/>
      <w:color w:val="000000"/>
      <w:sz w:val="24"/>
      <w:szCs w:val="24"/>
    </w:rPr>
  </w:style>
  <w:style w:type="character" w:customStyle="1" w:styleId="Heading6Char">
    <w:name w:val="Heading 6 Char"/>
    <w:basedOn w:val="DefaultParagraphFont"/>
    <w:link w:val="Heading6"/>
    <w:uiPriority w:val="9"/>
    <w:semiHidden/>
    <w:rsid w:val="00FC693F"/>
    <w:rPr>
      <w:rFonts w:ascii="Arial" w:hAnsi="Arial" w:eastAsia="Arial" w:cs="Arial"/>
      <w:i/>
      <w:iCs/>
      <w:color w:val="000000"/>
      <w:sz w:val="24"/>
      <w:szCs w:val="24"/>
    </w:rPr>
  </w:style>
  <w:style w:type="character" w:customStyle="1" w:styleId="Heading7Char">
    <w:name w:val="Heading 7 Char"/>
    <w:basedOn w:val="DefaultParagraphFont"/>
    <w:link w:val="Heading7"/>
    <w:uiPriority w:val="9"/>
    <w:semiHidden/>
    <w:rsid w:val="00FC693F"/>
    <w:rPr>
      <w:rFonts w:ascii="Arial" w:hAnsi="Arial" w:eastAsia="Arial" w:cs="Arial"/>
      <w:i/>
      <w:iCs/>
      <w:color w:val="000000"/>
      <w:sz w:val="24"/>
      <w:szCs w:val="24"/>
    </w:rPr>
  </w:style>
  <w:style w:type="character" w:customStyle="1" w:styleId="Heading8Char">
    <w:name w:val="Heading 8 Char"/>
    <w:basedOn w:val="DefaultParagraphFont"/>
    <w:link w:val="Heading8"/>
    <w:uiPriority w:val="9"/>
    <w:semiHidden/>
    <w:rsid w:val="00FC693F"/>
    <w:rPr>
      <w:rFonts w:ascii="Arial" w:hAnsi="Arial" w:eastAsia="Arial" w:cs="Arial"/>
      <w:color w:val="000000"/>
      <w:sz w:val="24"/>
      <w:szCs w:val="24"/>
    </w:rPr>
  </w:style>
  <w:style w:type="character" w:customStyle="1" w:styleId="Heading9Char">
    <w:name w:val="Heading 9 Char"/>
    <w:basedOn w:val="DefaultParagraphFont"/>
    <w:link w:val="Heading9"/>
    <w:uiPriority w:val="9"/>
    <w:semiHidden/>
    <w:rsid w:val="00FC693F"/>
    <w:rPr>
      <w:rFonts w:ascii="Arial" w:hAnsi="Arial" w:eastAsia="Arial" w:cs="Arial"/>
      <w:i/>
      <w:iCs/>
      <w:color w:val="000000"/>
      <w:sz w:val="24"/>
      <w:szCs w:val="24"/>
    </w:rPr>
  </w:style>
  <w:style w:type="paragraph" w:styleId="Caption">
    <w:name w:val="caption"/>
    <w:basedOn w:val="Normal"/>
    <w:next w:val="Normal"/>
    <w:uiPriority w:val="35"/>
    <w:semiHidden/>
    <w:unhideWhenUsed/>
    <w:qFormat/>
    <w:rsid w:val="00FC693F"/>
    <w:pPr>
      <w:spacing w:line="264" w:lineRule="auto" w:after="120"/>
    </w:pPr>
    <w:rPr>
      <w:rFonts w:ascii="Arial" w:hAnsi="Arial" w:eastAsia="Arial" w:cs="Arial"/>
      <w:b/>
      <w:bCs/>
      <w:color w:val="000000"/>
      <w:sz w:val="24"/>
      <w:szCs w:val="24"/>
    </w:rPr>
  </w:style>
  <w:style w:type="character" w:styleId="Strong">
    <w:name w:val="Strong"/>
    <w:basedOn w:val="DefaultParagraphFont"/>
    <w:uiPriority w:val="22"/>
    <w:qFormat/>
    <w:rsid w:val="00FC693F"/>
    <w:rPr>
      <w:rFonts w:ascii="Arial" w:hAnsi="Arial" w:eastAsia="Arial" w:cs="Arial"/>
      <w:b/>
      <w:bCs/>
      <w:color w:val="000000"/>
      <w:sz w:val="24"/>
      <w:szCs w:val="24"/>
    </w:rPr>
  </w:style>
  <w:style w:type="character" w:styleId="Emphasis">
    <w:name w:val="Emphasis"/>
    <w:basedOn w:val="DefaultParagraphFont"/>
    <w:uiPriority w:val="20"/>
    <w:qFormat/>
    <w:rsid w:val="00FC693F"/>
    <w:rPr>
      <w:rFonts w:ascii="Arial" w:hAnsi="Arial" w:eastAsia="Arial" w:cs="Arial"/>
      <w:i/>
      <w:iCs/>
      <w:color w:val="000000"/>
      <w:sz w:val="24"/>
      <w:szCs w:val="24"/>
    </w:rPr>
  </w:style>
  <w:style w:type="paragraph" w:styleId="IntenseQuote">
    <w:name w:val="Intense Quote"/>
    <w:basedOn w:val="Normal"/>
    <w:next w:val="Normal"/>
    <w:link w:val="IntenseQuoteChar"/>
    <w:uiPriority w:val="30"/>
    <w:qFormat/>
    <w:rsid w:val="00FC693F"/>
    <w:pPr>
      <w:spacing w:before="200" w:after="120" w:line="264" w:lineRule="auto"/>
      <w:ind w:left="936" w:right="936"/>
    </w:pPr>
    <w:rPr>
      <w:rFonts w:ascii="Arial" w:hAnsi="Arial" w:eastAsia="Arial" w:cs="Arial"/>
      <w:b/>
      <w:bCs/>
      <w:i/>
      <w:iCs/>
      <w:color w:val="000000"/>
      <w:sz w:val="24"/>
      <w:szCs w:val="24"/>
    </w:rPr>
  </w:style>
  <w:style w:type="character" w:customStyle="1" w:styleId="IntenseQuoteChar">
    <w:name w:val="Intense Quote Char"/>
    <w:basedOn w:val="DefaultParagraphFont"/>
    <w:link w:val="IntenseQuote"/>
    <w:uiPriority w:val="30"/>
    <w:rsid w:val="00FC693F"/>
    <w:rPr>
      <w:rFonts w:ascii="Arial" w:hAnsi="Arial" w:eastAsia="Arial" w:cs="Arial"/>
      <w:b/>
      <w:bCs/>
      <w:i/>
      <w:iCs/>
      <w:color w:val="000000"/>
      <w:sz w:val="24"/>
      <w:szCs w:val="24"/>
    </w:rPr>
  </w:style>
  <w:style w:type="character" w:styleId="SubtleEmphasis">
    <w:name w:val="Subtle Emphasis"/>
    <w:basedOn w:val="DefaultParagraphFont"/>
    <w:uiPriority w:val="19"/>
    <w:qFormat/>
    <w:rsid w:val="00FC693F"/>
    <w:rPr>
      <w:rFonts w:ascii="Arial" w:hAnsi="Arial" w:eastAsia="Arial" w:cs="Arial"/>
      <w:i/>
      <w:iCs/>
      <w:color w:val="000000"/>
      <w:sz w:val="24"/>
      <w:szCs w:val="24"/>
    </w:rPr>
  </w:style>
  <w:style w:type="character" w:styleId="IntenseEmphasis">
    <w:name w:val="Intense Emphasis"/>
    <w:basedOn w:val="DefaultParagraphFont"/>
    <w:uiPriority w:val="21"/>
    <w:qFormat/>
    <w:rsid w:val="00FC693F"/>
    <w:rPr>
      <w:rFonts w:ascii="Arial" w:hAnsi="Arial" w:eastAsia="Arial" w:cs="Arial"/>
      <w:b/>
      <w:bCs/>
      <w:i/>
      <w:iCs/>
      <w:color w:val="000000"/>
      <w:sz w:val="24"/>
      <w:szCs w:val="24"/>
    </w:rPr>
  </w:style>
  <w:style w:type="character" w:styleId="SubtleReference">
    <w:name w:val="Subtle Reference"/>
    <w:basedOn w:val="DefaultParagraphFont"/>
    <w:uiPriority w:val="31"/>
    <w:qFormat/>
    <w:rsid w:val="00FC693F"/>
    <w:rPr>
      <w:rFonts w:ascii="Arial" w:hAnsi="Arial" w:eastAsia="Arial" w:cs="Arial"/>
      <w:smallCaps/>
      <w:color w:val="000000"/>
      <w:sz w:val="24"/>
      <w:u w:val="single"/>
      <w:szCs w:val="24"/>
    </w:rPr>
  </w:style>
  <w:style w:type="character" w:styleId="IntenseReference">
    <w:name w:val="Intense Reference"/>
    <w:basedOn w:val="DefaultParagraphFont"/>
    <w:uiPriority w:val="32"/>
    <w:qFormat/>
    <w:rsid w:val="00FC693F"/>
    <w:rPr>
      <w:rFonts w:ascii="Arial" w:hAnsi="Arial" w:eastAsia="Arial" w:cs="Arial"/>
      <w:b/>
      <w:bCs/>
      <w:smallCaps/>
      <w:color w:val="000000"/>
      <w:spacing w:val="5"/>
      <w:sz w:val="24"/>
      <w:u w:val="single"/>
      <w:szCs w:val="24"/>
    </w:rPr>
  </w:style>
  <w:style w:type="character" w:styleId="BookTitle">
    <w:name w:val="Book Title"/>
    <w:basedOn w:val="DefaultParagraphFont"/>
    <w:uiPriority w:val="33"/>
    <w:qFormat/>
    <w:rsid w:val="00FC693F"/>
    <w:rPr>
      <w:rFonts w:ascii="Arial" w:hAnsi="Arial" w:eastAsia="Arial" w:cs="Arial"/>
      <w:b/>
      <w:bCs/>
      <w:smallCaps/>
      <w:color w:val="000000"/>
      <w:spacing w:val="5"/>
      <w:sz w:val="24"/>
      <w:szCs w:val="24"/>
    </w:rPr>
  </w:style>
  <w:style w:type="paragraph" w:styleId="TOCHeading">
    <w:name w:val="TOC Heading"/>
    <w:basedOn w:val="Heading1"/>
    <w:next w:val="Normal"/>
    <w:uiPriority w:val="39"/>
    <w:semiHidden/>
    <w:unhideWhenUsed/>
    <w:qFormat/>
    <w:rsid w:val="00FC693F"/>
    <w:pPr>
      <w:spacing w:after="120" w:line="264" w:lineRule="auto"/>
      <w:outlineLvl w:val="9"/>
    </w:pPr>
    <w:rPr>
      <w:rFonts w:ascii="Arial" w:hAnsi="Arial" w:eastAsia="Arial" w:cs="Arial"/>
      <w:color w:val="000000"/>
      <w:sz w:val="24"/>
      <w:szCs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fill="FFFFFF"/>
      </w:tcPr>
    </w:tblStylePr>
    <w:tblStylePr w:type="band1Horz">
      <w:tblPr/>
      <w:tcPr>
        <w:tcBorders>
          <w:left w:val="nil"/>
          <w:right w:val="nil"/>
          <w:insideH w:val="nil"/>
          <w:insideV w:val="nil"/>
        </w:tcBorders>
        <w:shd w:val="clear"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fill="FFFFFF"/>
      </w:tcPr>
    </w:tblStylePr>
    <w:tblStylePr w:type="band1Horz">
      <w:tblPr/>
      <w:tcPr>
        <w:tcBorders>
          <w:left w:val="nil"/>
          <w:right w:val="nil"/>
          <w:insideH w:val="nil"/>
          <w:insideV w:val="nil"/>
        </w:tcBorders>
        <w:shd w:val="clear"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fill="FFFFFF"/>
      </w:tcPr>
    </w:tblStylePr>
    <w:tblStylePr w:type="band1Horz">
      <w:tblPr/>
      <w:tcPr>
        <w:tcBorders>
          <w:left w:val="nil"/>
          <w:right w:val="nil"/>
          <w:insideH w:val="nil"/>
          <w:insideV w:val="nil"/>
        </w:tcBorders>
        <w:shd w:val="clear"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fill="FFFFFF"/>
      </w:tcPr>
    </w:tblStylePr>
    <w:tblStylePr w:type="band1Horz">
      <w:tblPr/>
      <w:tcPr>
        <w:tcBorders>
          <w:left w:val="nil"/>
          <w:right w:val="nil"/>
          <w:insideH w:val="nil"/>
          <w:insideV w:val="nil"/>
        </w:tcBorders>
        <w:shd w:val="clear"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fill="FFFFFF"/>
      </w:tcPr>
    </w:tblStylePr>
    <w:tblStylePr w:type="band1Horz">
      <w:tblPr/>
      <w:tcPr>
        <w:tcBorders>
          <w:left w:val="nil"/>
          <w:right w:val="nil"/>
          <w:insideH w:val="nil"/>
          <w:insideV w:val="nil"/>
        </w:tcBorders>
        <w:shd w:val="clear"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fill="FFFFFF"/>
      </w:tcPr>
    </w:tblStylePr>
    <w:tblStylePr w:type="band1Horz">
      <w:tblPr/>
      <w:tcPr>
        <w:tcBorders>
          <w:left w:val="nil"/>
          <w:right w:val="nil"/>
          <w:insideH w:val="nil"/>
          <w:insideV w:val="nil"/>
        </w:tcBorders>
        <w:shd w:val="clear"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fill="FFFFFF"/>
      </w:tcPr>
    </w:tblStylePr>
    <w:tblStylePr w:type="band1Horz">
      <w:tblPr/>
      <w:tcPr>
        <w:tcBorders>
          <w:left w:val="nil"/>
          <w:right w:val="nil"/>
          <w:insideH w:val="nil"/>
          <w:insideV w:val="nil"/>
        </w:tcBorders>
        <w:shd w:val="clear"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fill="FFFFFF"/>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fill="FFFFFF"/>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fill="FFFFFF"/>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fill="FFFFFF"/>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fill="FFFFFF"/>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fill="FFFFFF"/>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fill="FFFFFF"/>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eastAsia="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fill="FFFFF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fill="FFFFF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eastAsia="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fill="FFFFF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fill="FFFFF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eastAsia="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fill="FFFFF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fill="FFFFF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eastAsia="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fill="FFFFF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fill="FFFFF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eastAsia="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fill="FFFFF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fill="FFFFF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eastAsia="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fill="FFFFF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fill="FFFFF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eastAsia="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fill="FFFFF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fill="FFFFF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fill="FFFFFF"/>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fill="FFFFFF"/>
      </w:tcPr>
    </w:tblStylePr>
    <w:tblStylePr w:type="band1Horz">
      <w:tblPr/>
      <w:tcPr>
        <w:tcBorders>
          <w:insideH w:val="nil"/>
          <w:insideV w:val="nil"/>
        </w:tcBorders>
        <w:shd w:val="clear"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fill="FFFFFF"/>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fill="FFFFFF"/>
      </w:tcPr>
    </w:tblStylePr>
    <w:tblStylePr w:type="band1Horz">
      <w:tblPr/>
      <w:tcPr>
        <w:tcBorders>
          <w:insideH w:val="nil"/>
          <w:insideV w:val="nil"/>
        </w:tcBorders>
        <w:shd w:val="clear"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fill="FFFFFF"/>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fill="FFFFFF"/>
      </w:tcPr>
    </w:tblStylePr>
    <w:tblStylePr w:type="band1Horz">
      <w:tblPr/>
      <w:tcPr>
        <w:tcBorders>
          <w:insideH w:val="nil"/>
          <w:insideV w:val="nil"/>
        </w:tcBorders>
        <w:shd w:val="clear"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fill="FFFFFF"/>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fill="FFFFFF"/>
      </w:tcPr>
    </w:tblStylePr>
    <w:tblStylePr w:type="band1Horz">
      <w:tblPr/>
      <w:tcPr>
        <w:tcBorders>
          <w:insideH w:val="nil"/>
          <w:insideV w:val="nil"/>
        </w:tcBorders>
        <w:shd w:val="clear"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fill="FFFFFF"/>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fill="FFFFFF"/>
      </w:tcPr>
    </w:tblStylePr>
    <w:tblStylePr w:type="band1Horz">
      <w:tblPr/>
      <w:tcPr>
        <w:tcBorders>
          <w:insideH w:val="nil"/>
          <w:insideV w:val="nil"/>
        </w:tcBorders>
        <w:shd w:val="clear"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fill="FFFFFF"/>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fill="FFFFFF"/>
      </w:tcPr>
    </w:tblStylePr>
    <w:tblStylePr w:type="band1Horz">
      <w:tblPr/>
      <w:tcPr>
        <w:tcBorders>
          <w:insideH w:val="nil"/>
          <w:insideV w:val="nil"/>
        </w:tcBorders>
        <w:shd w:val="clear"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fill="FFFFFF"/>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fill="FFFFFF"/>
      </w:tcPr>
    </w:tblStylePr>
    <w:tblStylePr w:type="band1Horz">
      <w:tblPr/>
      <w:tcPr>
        <w:tcBorders>
          <w:insideH w:val="nil"/>
          <w:insideV w:val="nil"/>
        </w:tcBorders>
        <w:shd w:val="clear"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fill="FFFFFF"/>
      </w:tcPr>
    </w:tblStylePr>
    <w:tblStylePr w:type="firstCol">
      <w:rPr>
        <w:b/>
        <w:bCs/>
        <w:color w:val="000000"/>
      </w:rPr>
      <w:tblPr/>
      <w:tcPr>
        <w:tcBorders>
          <w:top w:val="nil"/>
          <w:left w:val="nil"/>
          <w:bottom w:val="single" w:sz="18" w:space="0" w:color="auto"/>
          <w:right w:val="nil"/>
          <w:insideH w:val="nil"/>
          <w:insideV w:val="nil"/>
        </w:tcBorders>
        <w:shd w:val="clear" w:fill="FFFFFF"/>
      </w:tcPr>
    </w:tblStylePr>
    <w:tblStylePr w:type="lastCol">
      <w:rPr>
        <w:b/>
        <w:bCs/>
        <w:color w:val="000000"/>
      </w:rPr>
      <w:tblPr/>
      <w:tcPr>
        <w:tcBorders>
          <w:left w:val="nil"/>
          <w:right w:val="nil"/>
          <w:insideH w:val="nil"/>
          <w:insideV w:val="nil"/>
        </w:tcBorders>
        <w:shd w:val="clear" w:fill="FFFFFF"/>
      </w:tcPr>
    </w:tblStylePr>
    <w:tblStylePr w:type="band1Vert">
      <w:tblPr/>
      <w:tcPr>
        <w:tcBorders>
          <w:left w:val="nil"/>
          <w:right w:val="nil"/>
          <w:insideH w:val="nil"/>
          <w:insideV w:val="nil"/>
        </w:tcBorders>
        <w:shd w:val="clear" w:fill="FFFFFF"/>
      </w:tcPr>
    </w:tblStylePr>
    <w:tblStylePr w:type="band1Horz">
      <w:tblPr/>
      <w:tcPr>
        <w:shd w:val="clear"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fill="FFFFFF"/>
      </w:tcPr>
    </w:tblStylePr>
    <w:tblStylePr w:type="firstCol">
      <w:rPr>
        <w:b/>
        <w:bCs/>
        <w:color w:val="000000"/>
      </w:rPr>
      <w:tblPr/>
      <w:tcPr>
        <w:tcBorders>
          <w:top w:val="nil"/>
          <w:left w:val="nil"/>
          <w:bottom w:val="single" w:sz="18" w:space="0" w:color="auto"/>
          <w:right w:val="nil"/>
          <w:insideH w:val="nil"/>
          <w:insideV w:val="nil"/>
        </w:tcBorders>
        <w:shd w:val="clear" w:fill="FFFFFF"/>
      </w:tcPr>
    </w:tblStylePr>
    <w:tblStylePr w:type="lastCol">
      <w:rPr>
        <w:b/>
        <w:bCs/>
        <w:color w:val="000000"/>
      </w:rPr>
      <w:tblPr/>
      <w:tcPr>
        <w:tcBorders>
          <w:left w:val="nil"/>
          <w:right w:val="nil"/>
          <w:insideH w:val="nil"/>
          <w:insideV w:val="nil"/>
        </w:tcBorders>
        <w:shd w:val="clear" w:fill="FFFFFF"/>
      </w:tcPr>
    </w:tblStylePr>
    <w:tblStylePr w:type="band1Vert">
      <w:tblPr/>
      <w:tcPr>
        <w:tcBorders>
          <w:left w:val="nil"/>
          <w:right w:val="nil"/>
          <w:insideH w:val="nil"/>
          <w:insideV w:val="nil"/>
        </w:tcBorders>
        <w:shd w:val="clear" w:fill="FFFFFF"/>
      </w:tcPr>
    </w:tblStylePr>
    <w:tblStylePr w:type="band1Horz">
      <w:tblPr/>
      <w:tcPr>
        <w:shd w:val="clear"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fill="FFFFFF"/>
      </w:tcPr>
    </w:tblStylePr>
    <w:tblStylePr w:type="firstCol">
      <w:rPr>
        <w:b/>
        <w:bCs/>
        <w:color w:val="000000"/>
      </w:rPr>
      <w:tblPr/>
      <w:tcPr>
        <w:tcBorders>
          <w:top w:val="nil"/>
          <w:left w:val="nil"/>
          <w:bottom w:val="single" w:sz="18" w:space="0" w:color="auto"/>
          <w:right w:val="nil"/>
          <w:insideH w:val="nil"/>
          <w:insideV w:val="nil"/>
        </w:tcBorders>
        <w:shd w:val="clear" w:fill="FFFFFF"/>
      </w:tcPr>
    </w:tblStylePr>
    <w:tblStylePr w:type="lastCol">
      <w:rPr>
        <w:b/>
        <w:bCs/>
        <w:color w:val="000000"/>
      </w:rPr>
      <w:tblPr/>
      <w:tcPr>
        <w:tcBorders>
          <w:left w:val="nil"/>
          <w:right w:val="nil"/>
          <w:insideH w:val="nil"/>
          <w:insideV w:val="nil"/>
        </w:tcBorders>
        <w:shd w:val="clear" w:fill="FFFFFF"/>
      </w:tcPr>
    </w:tblStylePr>
    <w:tblStylePr w:type="band1Vert">
      <w:tblPr/>
      <w:tcPr>
        <w:tcBorders>
          <w:left w:val="nil"/>
          <w:right w:val="nil"/>
          <w:insideH w:val="nil"/>
          <w:insideV w:val="nil"/>
        </w:tcBorders>
        <w:shd w:val="clear" w:fill="FFFFFF"/>
      </w:tcPr>
    </w:tblStylePr>
    <w:tblStylePr w:type="band1Horz">
      <w:tblPr/>
      <w:tcPr>
        <w:shd w:val="clear"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fill="FFFFFF"/>
      </w:tcPr>
    </w:tblStylePr>
    <w:tblStylePr w:type="firstCol">
      <w:rPr>
        <w:b/>
        <w:bCs/>
        <w:color w:val="000000"/>
      </w:rPr>
      <w:tblPr/>
      <w:tcPr>
        <w:tcBorders>
          <w:top w:val="nil"/>
          <w:left w:val="nil"/>
          <w:bottom w:val="single" w:sz="18" w:space="0" w:color="auto"/>
          <w:right w:val="nil"/>
          <w:insideH w:val="nil"/>
          <w:insideV w:val="nil"/>
        </w:tcBorders>
        <w:shd w:val="clear" w:fill="FFFFFF"/>
      </w:tcPr>
    </w:tblStylePr>
    <w:tblStylePr w:type="lastCol">
      <w:rPr>
        <w:b/>
        <w:bCs/>
        <w:color w:val="000000"/>
      </w:rPr>
      <w:tblPr/>
      <w:tcPr>
        <w:tcBorders>
          <w:left w:val="nil"/>
          <w:right w:val="nil"/>
          <w:insideH w:val="nil"/>
          <w:insideV w:val="nil"/>
        </w:tcBorders>
        <w:shd w:val="clear" w:fill="FFFFFF"/>
      </w:tcPr>
    </w:tblStylePr>
    <w:tblStylePr w:type="band1Vert">
      <w:tblPr/>
      <w:tcPr>
        <w:tcBorders>
          <w:left w:val="nil"/>
          <w:right w:val="nil"/>
          <w:insideH w:val="nil"/>
          <w:insideV w:val="nil"/>
        </w:tcBorders>
        <w:shd w:val="clear" w:fill="FFFFFF"/>
      </w:tcPr>
    </w:tblStylePr>
    <w:tblStylePr w:type="band1Horz">
      <w:tblPr/>
      <w:tcPr>
        <w:shd w:val="clear"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fill="FFFFFF"/>
      </w:tcPr>
    </w:tblStylePr>
    <w:tblStylePr w:type="firstCol">
      <w:rPr>
        <w:b/>
        <w:bCs/>
        <w:color w:val="000000"/>
      </w:rPr>
      <w:tblPr/>
      <w:tcPr>
        <w:tcBorders>
          <w:top w:val="nil"/>
          <w:left w:val="nil"/>
          <w:bottom w:val="single" w:sz="18" w:space="0" w:color="auto"/>
          <w:right w:val="nil"/>
          <w:insideH w:val="nil"/>
          <w:insideV w:val="nil"/>
        </w:tcBorders>
        <w:shd w:val="clear" w:fill="FFFFFF"/>
      </w:tcPr>
    </w:tblStylePr>
    <w:tblStylePr w:type="lastCol">
      <w:rPr>
        <w:b/>
        <w:bCs/>
        <w:color w:val="000000"/>
      </w:rPr>
      <w:tblPr/>
      <w:tcPr>
        <w:tcBorders>
          <w:left w:val="nil"/>
          <w:right w:val="nil"/>
          <w:insideH w:val="nil"/>
          <w:insideV w:val="nil"/>
        </w:tcBorders>
        <w:shd w:val="clear" w:fill="FFFFFF"/>
      </w:tcPr>
    </w:tblStylePr>
    <w:tblStylePr w:type="band1Vert">
      <w:tblPr/>
      <w:tcPr>
        <w:tcBorders>
          <w:left w:val="nil"/>
          <w:right w:val="nil"/>
          <w:insideH w:val="nil"/>
          <w:insideV w:val="nil"/>
        </w:tcBorders>
        <w:shd w:val="clear" w:fill="FFFFFF"/>
      </w:tcPr>
    </w:tblStylePr>
    <w:tblStylePr w:type="band1Horz">
      <w:tblPr/>
      <w:tcPr>
        <w:shd w:val="clear"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fill="FFFFFF"/>
      </w:tcPr>
    </w:tblStylePr>
    <w:tblStylePr w:type="firstCol">
      <w:rPr>
        <w:b/>
        <w:bCs/>
        <w:color w:val="000000"/>
      </w:rPr>
      <w:tblPr/>
      <w:tcPr>
        <w:tcBorders>
          <w:top w:val="nil"/>
          <w:left w:val="nil"/>
          <w:bottom w:val="single" w:sz="18" w:space="0" w:color="auto"/>
          <w:right w:val="nil"/>
          <w:insideH w:val="nil"/>
          <w:insideV w:val="nil"/>
        </w:tcBorders>
        <w:shd w:val="clear" w:fill="FFFFFF"/>
      </w:tcPr>
    </w:tblStylePr>
    <w:tblStylePr w:type="lastCol">
      <w:rPr>
        <w:b/>
        <w:bCs/>
        <w:color w:val="000000"/>
      </w:rPr>
      <w:tblPr/>
      <w:tcPr>
        <w:tcBorders>
          <w:left w:val="nil"/>
          <w:right w:val="nil"/>
          <w:insideH w:val="nil"/>
          <w:insideV w:val="nil"/>
        </w:tcBorders>
        <w:shd w:val="clear" w:fill="FFFFFF"/>
      </w:tcPr>
    </w:tblStylePr>
    <w:tblStylePr w:type="band1Vert">
      <w:tblPr/>
      <w:tcPr>
        <w:tcBorders>
          <w:left w:val="nil"/>
          <w:right w:val="nil"/>
          <w:insideH w:val="nil"/>
          <w:insideV w:val="nil"/>
        </w:tcBorders>
        <w:shd w:val="clear" w:fill="FFFFFF"/>
      </w:tcPr>
    </w:tblStylePr>
    <w:tblStylePr w:type="band1Horz">
      <w:tblPr/>
      <w:tcPr>
        <w:shd w:val="clear"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fill="FFFFFF"/>
      </w:tcPr>
    </w:tblStylePr>
    <w:tblStylePr w:type="firstCol">
      <w:rPr>
        <w:b/>
        <w:bCs/>
        <w:color w:val="000000"/>
      </w:rPr>
      <w:tblPr/>
      <w:tcPr>
        <w:tcBorders>
          <w:top w:val="nil"/>
          <w:left w:val="nil"/>
          <w:bottom w:val="single" w:sz="18" w:space="0" w:color="auto"/>
          <w:right w:val="nil"/>
          <w:insideH w:val="nil"/>
          <w:insideV w:val="nil"/>
        </w:tcBorders>
        <w:shd w:val="clear" w:fill="FFFFFF"/>
      </w:tcPr>
    </w:tblStylePr>
    <w:tblStylePr w:type="lastCol">
      <w:rPr>
        <w:b/>
        <w:bCs/>
        <w:color w:val="000000"/>
      </w:rPr>
      <w:tblPr/>
      <w:tcPr>
        <w:tcBorders>
          <w:left w:val="nil"/>
          <w:right w:val="nil"/>
          <w:insideH w:val="nil"/>
          <w:insideV w:val="nil"/>
        </w:tcBorders>
        <w:shd w:val="clear" w:fill="FFFFFF"/>
      </w:tcPr>
    </w:tblStylePr>
    <w:tblStylePr w:type="band1Vert">
      <w:tblPr/>
      <w:tcPr>
        <w:tcBorders>
          <w:left w:val="nil"/>
          <w:right w:val="nil"/>
          <w:insideH w:val="nil"/>
          <w:insideV w:val="nil"/>
        </w:tcBorders>
        <w:shd w:val="clear" w:fill="FFFFFF"/>
      </w:tcPr>
    </w:tblStylePr>
    <w:tblStylePr w:type="band1Horz">
      <w:tblPr/>
      <w:tcPr>
        <w:shd w:val="clear"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fill="FFFFFF"/>
      </w:tcPr>
    </w:tblStylePr>
    <w:tblStylePr w:type="band1Horz">
      <w:tblPr/>
      <w:tcPr>
        <w:shd w:val="clear"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fill="FFFFFF"/>
      </w:tcPr>
    </w:tblStylePr>
    <w:tblStylePr w:type="band1Horz">
      <w:tblPr/>
      <w:tcPr>
        <w:shd w:val="clear"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fill="FFFFFF"/>
      </w:tcPr>
    </w:tblStylePr>
    <w:tblStylePr w:type="band1Horz">
      <w:tblPr/>
      <w:tcPr>
        <w:shd w:val="clear"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fill="FFFFFF"/>
      </w:tcPr>
    </w:tblStylePr>
    <w:tblStylePr w:type="band1Horz">
      <w:tblPr/>
      <w:tcPr>
        <w:shd w:val="clear"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fill="FFFFFF"/>
      </w:tcPr>
    </w:tblStylePr>
    <w:tblStylePr w:type="band1Horz">
      <w:tblPr/>
      <w:tcPr>
        <w:shd w:val="clear"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fill="FFFFFF"/>
      </w:tcPr>
    </w:tblStylePr>
    <w:tblStylePr w:type="band1Horz">
      <w:tblPr/>
      <w:tcPr>
        <w:shd w:val="clear"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fill="FFFFFF"/>
      </w:tcPr>
    </w:tblStylePr>
    <w:tblStylePr w:type="band1Horz">
      <w:tblPr/>
      <w:tcPr>
        <w:shd w:val="clear" w:fill="FFFFFF"/>
      </w:tcPr>
    </w:tblStylePr>
  </w:style>
  <w:style w:type="table" w:styleId="MediumList2">
    <w:name w:val="Medium List 2"/>
    <w:basedOn w:val="TableNormal"/>
    <w:uiPriority w:val="66"/>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fill="FFFFFF"/>
      </w:tcPr>
    </w:tblStylePr>
    <w:tblStylePr w:type="lastRow">
      <w:tblPr/>
      <w:tcPr>
        <w:tcBorders>
          <w:top w:val="single" w:sz="8" w:space="0" w:color="000000" w:themeColor="text1"/>
          <w:left w:val="nil"/>
          <w:bottom w:val="nil"/>
          <w:right w:val="nil"/>
          <w:insideH w:val="nil"/>
          <w:insideV w:val="nil"/>
        </w:tcBorders>
        <w:shd w:val="clear" w:fill="FFFFFF"/>
      </w:tcPr>
    </w:tblStylePr>
    <w:tblStylePr w:type="firstCol">
      <w:tblPr/>
      <w:tcPr>
        <w:tcBorders>
          <w:top w:val="nil"/>
          <w:left w:val="nil"/>
          <w:bottom w:val="nil"/>
          <w:right w:val="single" w:sz="8" w:space="0" w:color="000000" w:themeColor="text1"/>
          <w:insideH w:val="nil"/>
          <w:insideV w:val="nil"/>
        </w:tcBorders>
        <w:shd w:val="clear" w:fill="FFFFFF"/>
      </w:tcPr>
    </w:tblStylePr>
    <w:tblStylePr w:type="lastCol">
      <w:tblPr/>
      <w:tcPr>
        <w:tcBorders>
          <w:top w:val="nil"/>
          <w:left w:val="single" w:sz="8" w:space="0" w:color="000000" w:themeColor="text1"/>
          <w:bottom w:val="nil"/>
          <w:right w:val="nil"/>
          <w:insideH w:val="nil"/>
          <w:insideV w:val="nil"/>
        </w:tcBorders>
        <w:shd w:val="clear" w:fill="FFFFFF"/>
      </w:tcPr>
    </w:tblStylePr>
    <w:tblStylePr w:type="band1Vert">
      <w:tblPr/>
      <w:tcPr>
        <w:tcBorders>
          <w:left w:val="nil"/>
          <w:right w:val="nil"/>
          <w:insideH w:val="nil"/>
          <w:insideV w:val="nil"/>
        </w:tcBorders>
        <w:shd w:val="clear" w:fill="FFFFFF"/>
      </w:tcPr>
    </w:tblStylePr>
    <w:tblStylePr w:type="band1Horz">
      <w:tblPr/>
      <w:tcPr>
        <w:tcBorders>
          <w:top w:val="nil"/>
          <w:bottom w:val="nil"/>
          <w:insideH w:val="nil"/>
          <w:insideV w:val="nil"/>
        </w:tcBorders>
        <w:shd w:val="clear" w:fill="FFFFFF"/>
      </w:tcPr>
    </w:tblStylePr>
    <w:tblStylePr w:type="nwCell">
      <w:tblPr/>
      <w:tcPr>
        <w:shd w:val="clear"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fill="FFFFFF"/>
      </w:tcPr>
    </w:tblStylePr>
    <w:tblStylePr w:type="lastRow">
      <w:tblPr/>
      <w:tcPr>
        <w:tcBorders>
          <w:top w:val="single" w:sz="8" w:space="0" w:color="4F81BD" w:themeColor="accent1"/>
          <w:left w:val="nil"/>
          <w:bottom w:val="nil"/>
          <w:right w:val="nil"/>
          <w:insideH w:val="nil"/>
          <w:insideV w:val="nil"/>
        </w:tcBorders>
        <w:shd w:val="clear" w:fill="FFFFFF"/>
      </w:tcPr>
    </w:tblStylePr>
    <w:tblStylePr w:type="firstCol">
      <w:tblPr/>
      <w:tcPr>
        <w:tcBorders>
          <w:top w:val="nil"/>
          <w:left w:val="nil"/>
          <w:bottom w:val="nil"/>
          <w:right w:val="single" w:sz="8" w:space="0" w:color="4F81BD" w:themeColor="accent1"/>
          <w:insideH w:val="nil"/>
          <w:insideV w:val="nil"/>
        </w:tcBorders>
        <w:shd w:val="clear" w:fill="FFFFFF"/>
      </w:tcPr>
    </w:tblStylePr>
    <w:tblStylePr w:type="lastCol">
      <w:tblPr/>
      <w:tcPr>
        <w:tcBorders>
          <w:top w:val="nil"/>
          <w:left w:val="single" w:sz="8" w:space="0" w:color="4F81BD" w:themeColor="accent1"/>
          <w:bottom w:val="nil"/>
          <w:right w:val="nil"/>
          <w:insideH w:val="nil"/>
          <w:insideV w:val="nil"/>
        </w:tcBorders>
        <w:shd w:val="clear" w:fill="FFFFFF"/>
      </w:tcPr>
    </w:tblStylePr>
    <w:tblStylePr w:type="band1Vert">
      <w:tblPr/>
      <w:tcPr>
        <w:tcBorders>
          <w:left w:val="nil"/>
          <w:right w:val="nil"/>
          <w:insideH w:val="nil"/>
          <w:insideV w:val="nil"/>
        </w:tcBorders>
        <w:shd w:val="clear" w:fill="FFFFFF"/>
      </w:tcPr>
    </w:tblStylePr>
    <w:tblStylePr w:type="band1Horz">
      <w:tblPr/>
      <w:tcPr>
        <w:tcBorders>
          <w:top w:val="nil"/>
          <w:bottom w:val="nil"/>
          <w:insideH w:val="nil"/>
          <w:insideV w:val="nil"/>
        </w:tcBorders>
        <w:shd w:val="clear" w:fill="FFFFFF"/>
      </w:tcPr>
    </w:tblStylePr>
    <w:tblStylePr w:type="nwCell">
      <w:tblPr/>
      <w:tcPr>
        <w:shd w:val="clear"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fill="FFFFFF"/>
      </w:tcPr>
    </w:tblStylePr>
    <w:tblStylePr w:type="lastRow">
      <w:tblPr/>
      <w:tcPr>
        <w:tcBorders>
          <w:top w:val="single" w:sz="8" w:space="0" w:color="C0504D" w:themeColor="accent2"/>
          <w:left w:val="nil"/>
          <w:bottom w:val="nil"/>
          <w:right w:val="nil"/>
          <w:insideH w:val="nil"/>
          <w:insideV w:val="nil"/>
        </w:tcBorders>
        <w:shd w:val="clear" w:fill="FFFFFF"/>
      </w:tcPr>
    </w:tblStylePr>
    <w:tblStylePr w:type="firstCol">
      <w:tblPr/>
      <w:tcPr>
        <w:tcBorders>
          <w:top w:val="nil"/>
          <w:left w:val="nil"/>
          <w:bottom w:val="nil"/>
          <w:right w:val="single" w:sz="8" w:space="0" w:color="C0504D" w:themeColor="accent2"/>
          <w:insideH w:val="nil"/>
          <w:insideV w:val="nil"/>
        </w:tcBorders>
        <w:shd w:val="clear" w:fill="FFFFFF"/>
      </w:tcPr>
    </w:tblStylePr>
    <w:tblStylePr w:type="lastCol">
      <w:tblPr/>
      <w:tcPr>
        <w:tcBorders>
          <w:top w:val="nil"/>
          <w:left w:val="single" w:sz="8" w:space="0" w:color="C0504D" w:themeColor="accent2"/>
          <w:bottom w:val="nil"/>
          <w:right w:val="nil"/>
          <w:insideH w:val="nil"/>
          <w:insideV w:val="nil"/>
        </w:tcBorders>
        <w:shd w:val="clear" w:fill="FFFFFF"/>
      </w:tcPr>
    </w:tblStylePr>
    <w:tblStylePr w:type="band1Vert">
      <w:tblPr/>
      <w:tcPr>
        <w:tcBorders>
          <w:left w:val="nil"/>
          <w:right w:val="nil"/>
          <w:insideH w:val="nil"/>
          <w:insideV w:val="nil"/>
        </w:tcBorders>
        <w:shd w:val="clear" w:fill="FFFFFF"/>
      </w:tcPr>
    </w:tblStylePr>
    <w:tblStylePr w:type="band1Horz">
      <w:tblPr/>
      <w:tcPr>
        <w:tcBorders>
          <w:top w:val="nil"/>
          <w:bottom w:val="nil"/>
          <w:insideH w:val="nil"/>
          <w:insideV w:val="nil"/>
        </w:tcBorders>
        <w:shd w:val="clear" w:fill="FFFFFF"/>
      </w:tcPr>
    </w:tblStylePr>
    <w:tblStylePr w:type="nwCell">
      <w:tblPr/>
      <w:tcPr>
        <w:shd w:val="clear"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fill="FFFFFF"/>
      </w:tcPr>
    </w:tblStylePr>
    <w:tblStylePr w:type="lastRow">
      <w:tblPr/>
      <w:tcPr>
        <w:tcBorders>
          <w:top w:val="single" w:sz="8" w:space="0" w:color="9BBB59" w:themeColor="accent3"/>
          <w:left w:val="nil"/>
          <w:bottom w:val="nil"/>
          <w:right w:val="nil"/>
          <w:insideH w:val="nil"/>
          <w:insideV w:val="nil"/>
        </w:tcBorders>
        <w:shd w:val="clear" w:fill="FFFFFF"/>
      </w:tcPr>
    </w:tblStylePr>
    <w:tblStylePr w:type="firstCol">
      <w:tblPr/>
      <w:tcPr>
        <w:tcBorders>
          <w:top w:val="nil"/>
          <w:left w:val="nil"/>
          <w:bottom w:val="nil"/>
          <w:right w:val="single" w:sz="8" w:space="0" w:color="9BBB59" w:themeColor="accent3"/>
          <w:insideH w:val="nil"/>
          <w:insideV w:val="nil"/>
        </w:tcBorders>
        <w:shd w:val="clear" w:fill="FFFFFF"/>
      </w:tcPr>
    </w:tblStylePr>
    <w:tblStylePr w:type="lastCol">
      <w:tblPr/>
      <w:tcPr>
        <w:tcBorders>
          <w:top w:val="nil"/>
          <w:left w:val="single" w:sz="8" w:space="0" w:color="9BBB59" w:themeColor="accent3"/>
          <w:bottom w:val="nil"/>
          <w:right w:val="nil"/>
          <w:insideH w:val="nil"/>
          <w:insideV w:val="nil"/>
        </w:tcBorders>
        <w:shd w:val="clear" w:fill="FFFFFF"/>
      </w:tcPr>
    </w:tblStylePr>
    <w:tblStylePr w:type="band1Vert">
      <w:tblPr/>
      <w:tcPr>
        <w:tcBorders>
          <w:left w:val="nil"/>
          <w:right w:val="nil"/>
          <w:insideH w:val="nil"/>
          <w:insideV w:val="nil"/>
        </w:tcBorders>
        <w:shd w:val="clear" w:fill="FFFFFF"/>
      </w:tcPr>
    </w:tblStylePr>
    <w:tblStylePr w:type="band1Horz">
      <w:tblPr/>
      <w:tcPr>
        <w:tcBorders>
          <w:top w:val="nil"/>
          <w:bottom w:val="nil"/>
          <w:insideH w:val="nil"/>
          <w:insideV w:val="nil"/>
        </w:tcBorders>
        <w:shd w:val="clear" w:fill="FFFFFF"/>
      </w:tcPr>
    </w:tblStylePr>
    <w:tblStylePr w:type="nwCell">
      <w:tblPr/>
      <w:tcPr>
        <w:shd w:val="clear"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fill="FFFFFF"/>
      </w:tcPr>
    </w:tblStylePr>
    <w:tblStylePr w:type="lastRow">
      <w:tblPr/>
      <w:tcPr>
        <w:tcBorders>
          <w:top w:val="single" w:sz="8" w:space="0" w:color="8064A2" w:themeColor="accent4"/>
          <w:left w:val="nil"/>
          <w:bottom w:val="nil"/>
          <w:right w:val="nil"/>
          <w:insideH w:val="nil"/>
          <w:insideV w:val="nil"/>
        </w:tcBorders>
        <w:shd w:val="clear" w:fill="FFFFFF"/>
      </w:tcPr>
    </w:tblStylePr>
    <w:tblStylePr w:type="firstCol">
      <w:tblPr/>
      <w:tcPr>
        <w:tcBorders>
          <w:top w:val="nil"/>
          <w:left w:val="nil"/>
          <w:bottom w:val="nil"/>
          <w:right w:val="single" w:sz="8" w:space="0" w:color="8064A2" w:themeColor="accent4"/>
          <w:insideH w:val="nil"/>
          <w:insideV w:val="nil"/>
        </w:tcBorders>
        <w:shd w:val="clear" w:fill="FFFFFF"/>
      </w:tcPr>
    </w:tblStylePr>
    <w:tblStylePr w:type="lastCol">
      <w:tblPr/>
      <w:tcPr>
        <w:tcBorders>
          <w:top w:val="nil"/>
          <w:left w:val="single" w:sz="8" w:space="0" w:color="8064A2" w:themeColor="accent4"/>
          <w:bottom w:val="nil"/>
          <w:right w:val="nil"/>
          <w:insideH w:val="nil"/>
          <w:insideV w:val="nil"/>
        </w:tcBorders>
        <w:shd w:val="clear" w:fill="FFFFFF"/>
      </w:tcPr>
    </w:tblStylePr>
    <w:tblStylePr w:type="band1Vert">
      <w:tblPr/>
      <w:tcPr>
        <w:tcBorders>
          <w:left w:val="nil"/>
          <w:right w:val="nil"/>
          <w:insideH w:val="nil"/>
          <w:insideV w:val="nil"/>
        </w:tcBorders>
        <w:shd w:val="clear" w:fill="FFFFFF"/>
      </w:tcPr>
    </w:tblStylePr>
    <w:tblStylePr w:type="band1Horz">
      <w:tblPr/>
      <w:tcPr>
        <w:tcBorders>
          <w:top w:val="nil"/>
          <w:bottom w:val="nil"/>
          <w:insideH w:val="nil"/>
          <w:insideV w:val="nil"/>
        </w:tcBorders>
        <w:shd w:val="clear" w:fill="FFFFFF"/>
      </w:tcPr>
    </w:tblStylePr>
    <w:tblStylePr w:type="nwCell">
      <w:tblPr/>
      <w:tcPr>
        <w:shd w:val="clear"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fill="FFFFFF"/>
      </w:tcPr>
    </w:tblStylePr>
    <w:tblStylePr w:type="lastRow">
      <w:tblPr/>
      <w:tcPr>
        <w:tcBorders>
          <w:top w:val="single" w:sz="8" w:space="0" w:color="4BACC6" w:themeColor="accent5"/>
          <w:left w:val="nil"/>
          <w:bottom w:val="nil"/>
          <w:right w:val="nil"/>
          <w:insideH w:val="nil"/>
          <w:insideV w:val="nil"/>
        </w:tcBorders>
        <w:shd w:val="clear" w:fill="FFFFFF"/>
      </w:tcPr>
    </w:tblStylePr>
    <w:tblStylePr w:type="firstCol">
      <w:tblPr/>
      <w:tcPr>
        <w:tcBorders>
          <w:top w:val="nil"/>
          <w:left w:val="nil"/>
          <w:bottom w:val="nil"/>
          <w:right w:val="single" w:sz="8" w:space="0" w:color="4BACC6" w:themeColor="accent5"/>
          <w:insideH w:val="nil"/>
          <w:insideV w:val="nil"/>
        </w:tcBorders>
        <w:shd w:val="clear" w:fill="FFFFFF"/>
      </w:tcPr>
    </w:tblStylePr>
    <w:tblStylePr w:type="lastCol">
      <w:tblPr/>
      <w:tcPr>
        <w:tcBorders>
          <w:top w:val="nil"/>
          <w:left w:val="single" w:sz="8" w:space="0" w:color="4BACC6" w:themeColor="accent5"/>
          <w:bottom w:val="nil"/>
          <w:right w:val="nil"/>
          <w:insideH w:val="nil"/>
          <w:insideV w:val="nil"/>
        </w:tcBorders>
        <w:shd w:val="clear" w:fill="FFFFFF"/>
      </w:tcPr>
    </w:tblStylePr>
    <w:tblStylePr w:type="band1Vert">
      <w:tblPr/>
      <w:tcPr>
        <w:tcBorders>
          <w:left w:val="nil"/>
          <w:right w:val="nil"/>
          <w:insideH w:val="nil"/>
          <w:insideV w:val="nil"/>
        </w:tcBorders>
        <w:shd w:val="clear" w:fill="FFFFFF"/>
      </w:tcPr>
    </w:tblStylePr>
    <w:tblStylePr w:type="band1Horz">
      <w:tblPr/>
      <w:tcPr>
        <w:tcBorders>
          <w:top w:val="nil"/>
          <w:bottom w:val="nil"/>
          <w:insideH w:val="nil"/>
          <w:insideV w:val="nil"/>
        </w:tcBorders>
        <w:shd w:val="clear" w:fill="FFFFFF"/>
      </w:tcPr>
    </w:tblStylePr>
    <w:tblStylePr w:type="nwCell">
      <w:tblPr/>
      <w:tcPr>
        <w:shd w:val="clear"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fill="FFFFFF"/>
      </w:tcPr>
    </w:tblStylePr>
    <w:tblStylePr w:type="lastRow">
      <w:tblPr/>
      <w:tcPr>
        <w:tcBorders>
          <w:top w:val="single" w:sz="8" w:space="0" w:color="F79646" w:themeColor="accent6"/>
          <w:left w:val="nil"/>
          <w:bottom w:val="nil"/>
          <w:right w:val="nil"/>
          <w:insideH w:val="nil"/>
          <w:insideV w:val="nil"/>
        </w:tcBorders>
        <w:shd w:val="clear" w:fill="FFFFFF"/>
      </w:tcPr>
    </w:tblStylePr>
    <w:tblStylePr w:type="firstCol">
      <w:tblPr/>
      <w:tcPr>
        <w:tcBorders>
          <w:top w:val="nil"/>
          <w:left w:val="nil"/>
          <w:bottom w:val="nil"/>
          <w:right w:val="single" w:sz="8" w:space="0" w:color="F79646" w:themeColor="accent6"/>
          <w:insideH w:val="nil"/>
          <w:insideV w:val="nil"/>
        </w:tcBorders>
        <w:shd w:val="clear" w:fill="FFFFFF"/>
      </w:tcPr>
    </w:tblStylePr>
    <w:tblStylePr w:type="lastCol">
      <w:tblPr/>
      <w:tcPr>
        <w:tcBorders>
          <w:top w:val="nil"/>
          <w:left w:val="single" w:sz="8" w:space="0" w:color="F79646" w:themeColor="accent6"/>
          <w:bottom w:val="nil"/>
          <w:right w:val="nil"/>
          <w:insideH w:val="nil"/>
          <w:insideV w:val="nil"/>
        </w:tcBorders>
        <w:shd w:val="clear" w:fill="FFFFFF"/>
      </w:tcPr>
    </w:tblStylePr>
    <w:tblStylePr w:type="band1Vert">
      <w:tblPr/>
      <w:tcPr>
        <w:tcBorders>
          <w:left w:val="nil"/>
          <w:right w:val="nil"/>
          <w:insideH w:val="nil"/>
          <w:insideV w:val="nil"/>
        </w:tcBorders>
        <w:shd w:val="clear" w:fill="FFFFFF"/>
      </w:tcPr>
    </w:tblStylePr>
    <w:tblStylePr w:type="band1Horz">
      <w:tblPr/>
      <w:tcPr>
        <w:tcBorders>
          <w:top w:val="nil"/>
          <w:bottom w:val="nil"/>
          <w:insideH w:val="nil"/>
          <w:insideV w:val="nil"/>
        </w:tcBorders>
        <w:shd w:val="clear" w:fill="FFFFFF"/>
      </w:tcPr>
    </w:tblStylePr>
    <w:tblStylePr w:type="nwCell">
      <w:tblPr/>
      <w:tcPr>
        <w:shd w:val="clear"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fill="FFFFF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fill="FFFFFF"/>
      </w:tcPr>
    </w:tblStylePr>
    <w:tblStylePr w:type="band1Horz">
      <w:tblPr/>
      <w:tcPr>
        <w:shd w:val="clear"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fill="FFFFF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fill="FFFFFF"/>
      </w:tcPr>
    </w:tblStylePr>
    <w:tblStylePr w:type="band1Horz">
      <w:tblPr/>
      <w:tcPr>
        <w:shd w:val="clear"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fill="FFFFF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fill="FFFFFF"/>
      </w:tcPr>
    </w:tblStylePr>
    <w:tblStylePr w:type="band1Horz">
      <w:tblPr/>
      <w:tcPr>
        <w:shd w:val="clear"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fill="FFFFF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fill="FFFFFF"/>
      </w:tcPr>
    </w:tblStylePr>
    <w:tblStylePr w:type="band1Horz">
      <w:tblPr/>
      <w:tcPr>
        <w:shd w:val="clear"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fill="FFFFF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fill="FFFFFF"/>
      </w:tcPr>
    </w:tblStylePr>
    <w:tblStylePr w:type="band1Horz">
      <w:tblPr/>
      <w:tcPr>
        <w:shd w:val="clear"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fill="FFFFF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fill="FFFFFF"/>
      </w:tcPr>
    </w:tblStylePr>
    <w:tblStylePr w:type="band1Horz">
      <w:tblPr/>
      <w:tcPr>
        <w:shd w:val="clear"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fill="FFFFF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fill="FFFFFF"/>
      </w:tcPr>
    </w:tblStylePr>
    <w:tblStylePr w:type="band1Horz">
      <w:tblPr/>
      <w:tcPr>
        <w:shd w:val="clear" w:fill="FFFFFF"/>
      </w:tcPr>
    </w:tblStylePr>
  </w:style>
  <w:style w:type="table" w:styleId="MediumGrid2">
    <w:name w:val="Medium Grid 2"/>
    <w:basedOn w:val="TableNormal"/>
    <w:uiPriority w:val="68"/>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fill="FFFFFF"/>
    </w:tcPr>
    <w:tblStylePr w:type="firstRow">
      <w:rPr>
        <w:b/>
        <w:bCs/>
        <w:color w:val="000000"/>
      </w:rPr>
      <w:tblPr/>
      <w:tcPr>
        <w:shd w:val="clear"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fill="FFFFFF"/>
      </w:tcPr>
    </w:tblStylePr>
    <w:tblStylePr w:type="firstCol">
      <w:rPr>
        <w:b/>
        <w:bCs/>
        <w:color w:val="000000"/>
      </w:rPr>
      <w:tblPr/>
      <w:tcPr>
        <w:tcBorders>
          <w:top w:val="nil"/>
          <w:left w:val="nil"/>
          <w:bottom w:val="nil"/>
          <w:right w:val="nil"/>
          <w:insideH w:val="nil"/>
          <w:insideV w:val="nil"/>
        </w:tcBorders>
        <w:shd w:val="clear" w:fill="FFFFFF"/>
      </w:tcPr>
    </w:tblStylePr>
    <w:tblStylePr w:type="lastCol">
      <w:rPr>
        <w:b w:val="0"/>
        <w:bCs w:val="0"/>
        <w:color w:val="000000"/>
      </w:rPr>
      <w:tblPr/>
      <w:tcPr>
        <w:tcBorders>
          <w:top w:val="nil"/>
          <w:left w:val="nil"/>
          <w:bottom w:val="nil"/>
          <w:right w:val="nil"/>
          <w:insideH w:val="nil"/>
          <w:insideV w:val="nil"/>
        </w:tcBorders>
        <w:shd w:val="clear" w:fill="FFFFFF"/>
      </w:tcPr>
    </w:tblStylePr>
    <w:tblStylePr w:type="band1Vert">
      <w:tblPr/>
      <w:tcPr>
        <w:shd w:val="clear" w:fill="FFFFFF"/>
      </w:tcPr>
    </w:tblStylePr>
    <w:tblStylePr w:type="band1Horz">
      <w:tblPr/>
      <w:tcPr>
        <w:tcBorders>
          <w:insideH w:val="single" w:sz="6" w:space="0" w:color="000000" w:themeColor="text1"/>
          <w:insideV w:val="single" w:sz="6" w:space="0" w:color="000000" w:themeColor="text1"/>
        </w:tcBorders>
        <w:shd w:val="clear" w:fill="FFFFFF"/>
      </w:tcPr>
    </w:tblStylePr>
    <w:tblStylePr w:type="nwCell">
      <w:tblPr/>
      <w:tcPr>
        <w:shd w:val="clear" w:fill="FFFFFF"/>
      </w:tcPr>
    </w:tblStylePr>
  </w:style>
  <w:style w:type="table" w:styleId="MediumGrid2-Accent1">
    <w:name w:val="Medium Grid 2 Accent 1"/>
    <w:basedOn w:val="TableNormal"/>
    <w:uiPriority w:val="68"/>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fill="FFFFFF"/>
    </w:tcPr>
    <w:tblStylePr w:type="firstRow">
      <w:rPr>
        <w:b/>
        <w:bCs/>
        <w:color w:val="000000"/>
      </w:rPr>
      <w:tblPr/>
      <w:tcPr>
        <w:shd w:val="clear"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fill="FFFFFF"/>
      </w:tcPr>
    </w:tblStylePr>
    <w:tblStylePr w:type="firstCol">
      <w:rPr>
        <w:b/>
        <w:bCs/>
        <w:color w:val="000000"/>
      </w:rPr>
      <w:tblPr/>
      <w:tcPr>
        <w:tcBorders>
          <w:top w:val="nil"/>
          <w:left w:val="nil"/>
          <w:bottom w:val="nil"/>
          <w:right w:val="nil"/>
          <w:insideH w:val="nil"/>
          <w:insideV w:val="nil"/>
        </w:tcBorders>
        <w:shd w:val="clear" w:fill="FFFFFF"/>
      </w:tcPr>
    </w:tblStylePr>
    <w:tblStylePr w:type="lastCol">
      <w:rPr>
        <w:b w:val="0"/>
        <w:bCs w:val="0"/>
        <w:color w:val="000000"/>
      </w:rPr>
      <w:tblPr/>
      <w:tcPr>
        <w:tcBorders>
          <w:top w:val="nil"/>
          <w:left w:val="nil"/>
          <w:bottom w:val="nil"/>
          <w:right w:val="nil"/>
          <w:insideH w:val="nil"/>
          <w:insideV w:val="nil"/>
        </w:tcBorders>
        <w:shd w:val="clear" w:fill="FFFFFF"/>
      </w:tcPr>
    </w:tblStylePr>
    <w:tblStylePr w:type="band1Vert">
      <w:tblPr/>
      <w:tcPr>
        <w:shd w:val="clear" w:fill="FFFFFF"/>
      </w:tcPr>
    </w:tblStylePr>
    <w:tblStylePr w:type="band1Horz">
      <w:tblPr/>
      <w:tcPr>
        <w:tcBorders>
          <w:insideH w:val="single" w:sz="6" w:space="0" w:color="4F81BD" w:themeColor="accent1"/>
          <w:insideV w:val="single" w:sz="6" w:space="0" w:color="4F81BD" w:themeColor="accent1"/>
        </w:tcBorders>
        <w:shd w:val="clear" w:fill="FFFFFF"/>
      </w:tcPr>
    </w:tblStylePr>
    <w:tblStylePr w:type="nwCell">
      <w:tblPr/>
      <w:tcPr>
        <w:shd w:val="clear" w:fill="FFFFFF"/>
      </w:tcPr>
    </w:tblStylePr>
  </w:style>
  <w:style w:type="table" w:styleId="MediumGrid2-Accent2">
    <w:name w:val="Medium Grid 2 Accent 2"/>
    <w:basedOn w:val="TableNormal"/>
    <w:uiPriority w:val="68"/>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fill="FFFFFF"/>
    </w:tcPr>
    <w:tblStylePr w:type="firstRow">
      <w:rPr>
        <w:b/>
        <w:bCs/>
        <w:color w:val="000000"/>
      </w:rPr>
      <w:tblPr/>
      <w:tcPr>
        <w:shd w:val="clear"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fill="FFFFFF"/>
      </w:tcPr>
    </w:tblStylePr>
    <w:tblStylePr w:type="firstCol">
      <w:rPr>
        <w:b/>
        <w:bCs/>
        <w:color w:val="000000"/>
      </w:rPr>
      <w:tblPr/>
      <w:tcPr>
        <w:tcBorders>
          <w:top w:val="nil"/>
          <w:left w:val="nil"/>
          <w:bottom w:val="nil"/>
          <w:right w:val="nil"/>
          <w:insideH w:val="nil"/>
          <w:insideV w:val="nil"/>
        </w:tcBorders>
        <w:shd w:val="clear" w:fill="FFFFFF"/>
      </w:tcPr>
    </w:tblStylePr>
    <w:tblStylePr w:type="lastCol">
      <w:rPr>
        <w:b w:val="0"/>
        <w:bCs w:val="0"/>
        <w:color w:val="000000"/>
      </w:rPr>
      <w:tblPr/>
      <w:tcPr>
        <w:tcBorders>
          <w:top w:val="nil"/>
          <w:left w:val="nil"/>
          <w:bottom w:val="nil"/>
          <w:right w:val="nil"/>
          <w:insideH w:val="nil"/>
          <w:insideV w:val="nil"/>
        </w:tcBorders>
        <w:shd w:val="clear" w:fill="FFFFFF"/>
      </w:tcPr>
    </w:tblStylePr>
    <w:tblStylePr w:type="band1Vert">
      <w:tblPr/>
      <w:tcPr>
        <w:shd w:val="clear" w:fill="FFFFFF"/>
      </w:tcPr>
    </w:tblStylePr>
    <w:tblStylePr w:type="band1Horz">
      <w:tblPr/>
      <w:tcPr>
        <w:tcBorders>
          <w:insideH w:val="single" w:sz="6" w:space="0" w:color="C0504D" w:themeColor="accent2"/>
          <w:insideV w:val="single" w:sz="6" w:space="0" w:color="C0504D" w:themeColor="accent2"/>
        </w:tcBorders>
        <w:shd w:val="clear" w:fill="FFFFFF"/>
      </w:tcPr>
    </w:tblStylePr>
    <w:tblStylePr w:type="nwCell">
      <w:tblPr/>
      <w:tcPr>
        <w:shd w:val="clear" w:fill="FFFFFF"/>
      </w:tcPr>
    </w:tblStylePr>
  </w:style>
  <w:style w:type="table" w:styleId="MediumGrid2-Accent3">
    <w:name w:val="Medium Grid 2 Accent 3"/>
    <w:basedOn w:val="TableNormal"/>
    <w:uiPriority w:val="68"/>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fill="FFFFFF"/>
    </w:tcPr>
    <w:tblStylePr w:type="firstRow">
      <w:rPr>
        <w:b/>
        <w:bCs/>
        <w:color w:val="000000"/>
      </w:rPr>
      <w:tblPr/>
      <w:tcPr>
        <w:shd w:val="clear"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fill="FFFFFF"/>
      </w:tcPr>
    </w:tblStylePr>
    <w:tblStylePr w:type="firstCol">
      <w:rPr>
        <w:b/>
        <w:bCs/>
        <w:color w:val="000000"/>
      </w:rPr>
      <w:tblPr/>
      <w:tcPr>
        <w:tcBorders>
          <w:top w:val="nil"/>
          <w:left w:val="nil"/>
          <w:bottom w:val="nil"/>
          <w:right w:val="nil"/>
          <w:insideH w:val="nil"/>
          <w:insideV w:val="nil"/>
        </w:tcBorders>
        <w:shd w:val="clear" w:fill="FFFFFF"/>
      </w:tcPr>
    </w:tblStylePr>
    <w:tblStylePr w:type="lastCol">
      <w:rPr>
        <w:b w:val="0"/>
        <w:bCs w:val="0"/>
        <w:color w:val="000000"/>
      </w:rPr>
      <w:tblPr/>
      <w:tcPr>
        <w:tcBorders>
          <w:top w:val="nil"/>
          <w:left w:val="nil"/>
          <w:bottom w:val="nil"/>
          <w:right w:val="nil"/>
          <w:insideH w:val="nil"/>
          <w:insideV w:val="nil"/>
        </w:tcBorders>
        <w:shd w:val="clear" w:fill="FFFFFF"/>
      </w:tcPr>
    </w:tblStylePr>
    <w:tblStylePr w:type="band1Vert">
      <w:tblPr/>
      <w:tcPr>
        <w:shd w:val="clear" w:fill="FFFFFF"/>
      </w:tcPr>
    </w:tblStylePr>
    <w:tblStylePr w:type="band1Horz">
      <w:tblPr/>
      <w:tcPr>
        <w:tcBorders>
          <w:insideH w:val="single" w:sz="6" w:space="0" w:color="9BBB59" w:themeColor="accent3"/>
          <w:insideV w:val="single" w:sz="6" w:space="0" w:color="9BBB59" w:themeColor="accent3"/>
        </w:tcBorders>
        <w:shd w:val="clear" w:fill="FFFFFF"/>
      </w:tcPr>
    </w:tblStylePr>
    <w:tblStylePr w:type="nwCell">
      <w:tblPr/>
      <w:tcPr>
        <w:shd w:val="clear" w:fill="FFFFFF"/>
      </w:tcPr>
    </w:tblStylePr>
  </w:style>
  <w:style w:type="table" w:styleId="MediumGrid2-Accent4">
    <w:name w:val="Medium Grid 2 Accent 4"/>
    <w:basedOn w:val="TableNormal"/>
    <w:uiPriority w:val="68"/>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fill="FFFFFF"/>
    </w:tcPr>
    <w:tblStylePr w:type="firstRow">
      <w:rPr>
        <w:b/>
        <w:bCs/>
        <w:color w:val="000000"/>
      </w:rPr>
      <w:tblPr/>
      <w:tcPr>
        <w:shd w:val="clear"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fill="FFFFFF"/>
      </w:tcPr>
    </w:tblStylePr>
    <w:tblStylePr w:type="firstCol">
      <w:rPr>
        <w:b/>
        <w:bCs/>
        <w:color w:val="000000"/>
      </w:rPr>
      <w:tblPr/>
      <w:tcPr>
        <w:tcBorders>
          <w:top w:val="nil"/>
          <w:left w:val="nil"/>
          <w:bottom w:val="nil"/>
          <w:right w:val="nil"/>
          <w:insideH w:val="nil"/>
          <w:insideV w:val="nil"/>
        </w:tcBorders>
        <w:shd w:val="clear" w:fill="FFFFFF"/>
      </w:tcPr>
    </w:tblStylePr>
    <w:tblStylePr w:type="lastCol">
      <w:rPr>
        <w:b w:val="0"/>
        <w:bCs w:val="0"/>
        <w:color w:val="000000"/>
      </w:rPr>
      <w:tblPr/>
      <w:tcPr>
        <w:tcBorders>
          <w:top w:val="nil"/>
          <w:left w:val="nil"/>
          <w:bottom w:val="nil"/>
          <w:right w:val="nil"/>
          <w:insideH w:val="nil"/>
          <w:insideV w:val="nil"/>
        </w:tcBorders>
        <w:shd w:val="clear" w:fill="FFFFFF"/>
      </w:tcPr>
    </w:tblStylePr>
    <w:tblStylePr w:type="band1Vert">
      <w:tblPr/>
      <w:tcPr>
        <w:shd w:val="clear" w:fill="FFFFFF"/>
      </w:tcPr>
    </w:tblStylePr>
    <w:tblStylePr w:type="band1Horz">
      <w:tblPr/>
      <w:tcPr>
        <w:tcBorders>
          <w:insideH w:val="single" w:sz="6" w:space="0" w:color="8064A2" w:themeColor="accent4"/>
          <w:insideV w:val="single" w:sz="6" w:space="0" w:color="8064A2" w:themeColor="accent4"/>
        </w:tcBorders>
        <w:shd w:val="clear" w:fill="FFFFFF"/>
      </w:tcPr>
    </w:tblStylePr>
    <w:tblStylePr w:type="nwCell">
      <w:tblPr/>
      <w:tcPr>
        <w:shd w:val="clear" w:fill="FFFFFF"/>
      </w:tcPr>
    </w:tblStylePr>
  </w:style>
  <w:style w:type="table" w:styleId="MediumGrid2-Accent5">
    <w:name w:val="Medium Grid 2 Accent 5"/>
    <w:basedOn w:val="TableNormal"/>
    <w:uiPriority w:val="68"/>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fill="FFFFFF"/>
    </w:tcPr>
    <w:tblStylePr w:type="firstRow">
      <w:rPr>
        <w:b/>
        <w:bCs/>
        <w:color w:val="000000"/>
      </w:rPr>
      <w:tblPr/>
      <w:tcPr>
        <w:shd w:val="clear"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fill="FFFFFF"/>
      </w:tcPr>
    </w:tblStylePr>
    <w:tblStylePr w:type="firstCol">
      <w:rPr>
        <w:b/>
        <w:bCs/>
        <w:color w:val="000000"/>
      </w:rPr>
      <w:tblPr/>
      <w:tcPr>
        <w:tcBorders>
          <w:top w:val="nil"/>
          <w:left w:val="nil"/>
          <w:bottom w:val="nil"/>
          <w:right w:val="nil"/>
          <w:insideH w:val="nil"/>
          <w:insideV w:val="nil"/>
        </w:tcBorders>
        <w:shd w:val="clear" w:fill="FFFFFF"/>
      </w:tcPr>
    </w:tblStylePr>
    <w:tblStylePr w:type="lastCol">
      <w:rPr>
        <w:b w:val="0"/>
        <w:bCs w:val="0"/>
        <w:color w:val="000000"/>
      </w:rPr>
      <w:tblPr/>
      <w:tcPr>
        <w:tcBorders>
          <w:top w:val="nil"/>
          <w:left w:val="nil"/>
          <w:bottom w:val="nil"/>
          <w:right w:val="nil"/>
          <w:insideH w:val="nil"/>
          <w:insideV w:val="nil"/>
        </w:tcBorders>
        <w:shd w:val="clear" w:fill="FFFFFF"/>
      </w:tcPr>
    </w:tblStylePr>
    <w:tblStylePr w:type="band1Vert">
      <w:tblPr/>
      <w:tcPr>
        <w:shd w:val="clear" w:fill="FFFFFF"/>
      </w:tcPr>
    </w:tblStylePr>
    <w:tblStylePr w:type="band1Horz">
      <w:tblPr/>
      <w:tcPr>
        <w:tcBorders>
          <w:insideH w:val="single" w:sz="6" w:space="0" w:color="4BACC6" w:themeColor="accent5"/>
          <w:insideV w:val="single" w:sz="6" w:space="0" w:color="4BACC6" w:themeColor="accent5"/>
        </w:tcBorders>
        <w:shd w:val="clear" w:fill="FFFFFF"/>
      </w:tcPr>
    </w:tblStylePr>
    <w:tblStylePr w:type="nwCell">
      <w:tblPr/>
      <w:tcPr>
        <w:shd w:val="clear" w:fill="FFFFFF"/>
      </w:tcPr>
    </w:tblStylePr>
  </w:style>
  <w:style w:type="table" w:styleId="MediumGrid2-Accent6">
    <w:name w:val="Medium Grid 2 Accent 6"/>
    <w:basedOn w:val="TableNormal"/>
    <w:uiPriority w:val="68"/>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fill="FFFFFF"/>
    </w:tcPr>
    <w:tblStylePr w:type="firstRow">
      <w:rPr>
        <w:b/>
        <w:bCs/>
        <w:color w:val="000000"/>
      </w:rPr>
      <w:tblPr/>
      <w:tcPr>
        <w:shd w:val="clear"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fill="FFFFFF"/>
      </w:tcPr>
    </w:tblStylePr>
    <w:tblStylePr w:type="firstCol">
      <w:rPr>
        <w:b/>
        <w:bCs/>
        <w:color w:val="000000"/>
      </w:rPr>
      <w:tblPr/>
      <w:tcPr>
        <w:tcBorders>
          <w:top w:val="nil"/>
          <w:left w:val="nil"/>
          <w:bottom w:val="nil"/>
          <w:right w:val="nil"/>
          <w:insideH w:val="nil"/>
          <w:insideV w:val="nil"/>
        </w:tcBorders>
        <w:shd w:val="clear" w:fill="FFFFFF"/>
      </w:tcPr>
    </w:tblStylePr>
    <w:tblStylePr w:type="lastCol">
      <w:rPr>
        <w:b w:val="0"/>
        <w:bCs w:val="0"/>
        <w:color w:val="000000"/>
      </w:rPr>
      <w:tblPr/>
      <w:tcPr>
        <w:tcBorders>
          <w:top w:val="nil"/>
          <w:left w:val="nil"/>
          <w:bottom w:val="nil"/>
          <w:right w:val="nil"/>
          <w:insideH w:val="nil"/>
          <w:insideV w:val="nil"/>
        </w:tcBorders>
        <w:shd w:val="clear" w:fill="FFFFFF"/>
      </w:tcPr>
    </w:tblStylePr>
    <w:tblStylePr w:type="band1Vert">
      <w:tblPr/>
      <w:tcPr>
        <w:shd w:val="clear" w:fill="FFFFFF"/>
      </w:tcPr>
    </w:tblStylePr>
    <w:tblStylePr w:type="band1Horz">
      <w:tblPr/>
      <w:tcPr>
        <w:tcBorders>
          <w:insideH w:val="single" w:sz="6" w:space="0" w:color="F79646" w:themeColor="accent6"/>
          <w:insideV w:val="single" w:sz="6" w:space="0" w:color="F79646" w:themeColor="accent6"/>
        </w:tcBorders>
        <w:shd w:val="clear" w:fill="FFFFFF"/>
      </w:tcPr>
    </w:tblStylePr>
    <w:tblStylePr w:type="nwCell">
      <w:tblPr/>
      <w:tcPr>
        <w:shd w:val="clear"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fill="FFFFF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fill="FFFFFF"/>
    </w:tcPr>
    <w:tblStylePr w:type="firstRow">
      <w:rPr>
        <w:b/>
        <w:bCs/>
      </w:rPr>
      <w:tblPr/>
      <w:tcPr>
        <w:tcBorders>
          <w:top w:val="nil"/>
          <w:left w:val="nil"/>
          <w:bottom w:val="single" w:sz="18" w:space="0" w:color="FFFFFF" w:themeColor="background1"/>
          <w:right w:val="nil"/>
          <w:insideH w:val="nil"/>
          <w:insideV w:val="nil"/>
        </w:tcBorders>
        <w:shd w:val="clear" w:fill="FFFFFF"/>
      </w:tcPr>
    </w:tblStylePr>
    <w:tblStylePr w:type="lastRow">
      <w:tblPr/>
      <w:tcPr>
        <w:tcBorders>
          <w:top w:val="single" w:sz="18" w:space="0" w:color="FFFFFF" w:themeColor="background1"/>
          <w:left w:val="nil"/>
          <w:bottom w:val="nil"/>
          <w:right w:val="nil"/>
          <w:insideH w:val="nil"/>
          <w:insideV w:val="nil"/>
        </w:tcBorders>
        <w:shd w:val="clear" w:fill="FFFFFF"/>
      </w:tcPr>
    </w:tblStylePr>
    <w:tblStylePr w:type="firstCol">
      <w:tblPr/>
      <w:tcPr>
        <w:tcBorders>
          <w:top w:val="nil"/>
          <w:left w:val="nil"/>
          <w:bottom w:val="nil"/>
          <w:right w:val="single" w:sz="18" w:space="0" w:color="FFFFFF" w:themeColor="background1"/>
          <w:insideH w:val="nil"/>
          <w:insideV w:val="nil"/>
        </w:tcBorders>
        <w:shd w:val="clear" w:fill="FFFFFF"/>
      </w:tcPr>
    </w:tblStylePr>
    <w:tblStylePr w:type="lastCol">
      <w:tblPr/>
      <w:tcPr>
        <w:tcBorders>
          <w:top w:val="nil"/>
          <w:left w:val="single" w:sz="18" w:space="0" w:color="FFFFFF" w:themeColor="background1"/>
          <w:bottom w:val="nil"/>
          <w:right w:val="nil"/>
          <w:insideH w:val="nil"/>
          <w:insideV w:val="nil"/>
        </w:tcBorders>
        <w:shd w:val="clear" w:fill="FFFFFF"/>
      </w:tcPr>
    </w:tblStylePr>
    <w:tblStylePr w:type="band1Vert">
      <w:tblPr/>
      <w:tcPr>
        <w:tcBorders>
          <w:top w:val="nil"/>
          <w:left w:val="nil"/>
          <w:bottom w:val="nil"/>
          <w:right w:val="nil"/>
          <w:insideH w:val="nil"/>
          <w:insideV w:val="nil"/>
        </w:tcBorders>
        <w:shd w:val="clear" w:fill="FFFFFF"/>
      </w:tcPr>
    </w:tblStylePr>
    <w:tblStylePr w:type="band1Horz">
      <w:tblPr/>
      <w:tcPr>
        <w:tcBorders>
          <w:top w:val="nil"/>
          <w:left w:val="nil"/>
          <w:bottom w:val="nil"/>
          <w:right w:val="nil"/>
          <w:insideH w:val="nil"/>
          <w:insideV w:val="nil"/>
        </w:tcBorders>
        <w:shd w:val="clear" w:fill="FFFFF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fill="FFFFFF"/>
    </w:tcPr>
    <w:tblStylePr w:type="firstRow">
      <w:rPr>
        <w:b/>
        <w:bCs/>
      </w:rPr>
      <w:tblPr/>
      <w:tcPr>
        <w:tcBorders>
          <w:top w:val="nil"/>
          <w:left w:val="nil"/>
          <w:bottom w:val="single" w:sz="18" w:space="0" w:color="FFFFFF" w:themeColor="background1"/>
          <w:right w:val="nil"/>
          <w:insideH w:val="nil"/>
          <w:insideV w:val="nil"/>
        </w:tcBorders>
        <w:shd w:val="clear" w:fill="FFFFFF"/>
      </w:tcPr>
    </w:tblStylePr>
    <w:tblStylePr w:type="lastRow">
      <w:tblPr/>
      <w:tcPr>
        <w:tcBorders>
          <w:top w:val="single" w:sz="18" w:space="0" w:color="FFFFFF" w:themeColor="background1"/>
          <w:left w:val="nil"/>
          <w:bottom w:val="nil"/>
          <w:right w:val="nil"/>
          <w:insideH w:val="nil"/>
          <w:insideV w:val="nil"/>
        </w:tcBorders>
        <w:shd w:val="clear" w:fill="FFFFFF"/>
      </w:tcPr>
    </w:tblStylePr>
    <w:tblStylePr w:type="firstCol">
      <w:tblPr/>
      <w:tcPr>
        <w:tcBorders>
          <w:top w:val="nil"/>
          <w:left w:val="nil"/>
          <w:bottom w:val="nil"/>
          <w:right w:val="single" w:sz="18" w:space="0" w:color="FFFFFF" w:themeColor="background1"/>
          <w:insideH w:val="nil"/>
          <w:insideV w:val="nil"/>
        </w:tcBorders>
        <w:shd w:val="clear" w:fill="FFFFFF"/>
      </w:tcPr>
    </w:tblStylePr>
    <w:tblStylePr w:type="lastCol">
      <w:tblPr/>
      <w:tcPr>
        <w:tcBorders>
          <w:top w:val="nil"/>
          <w:left w:val="single" w:sz="18" w:space="0" w:color="FFFFFF" w:themeColor="background1"/>
          <w:bottom w:val="nil"/>
          <w:right w:val="nil"/>
          <w:insideH w:val="nil"/>
          <w:insideV w:val="nil"/>
        </w:tcBorders>
        <w:shd w:val="clear" w:fill="FFFFFF"/>
      </w:tcPr>
    </w:tblStylePr>
    <w:tblStylePr w:type="band1Vert">
      <w:tblPr/>
      <w:tcPr>
        <w:tcBorders>
          <w:top w:val="nil"/>
          <w:left w:val="nil"/>
          <w:bottom w:val="nil"/>
          <w:right w:val="nil"/>
          <w:insideH w:val="nil"/>
          <w:insideV w:val="nil"/>
        </w:tcBorders>
        <w:shd w:val="clear" w:fill="FFFFFF"/>
      </w:tcPr>
    </w:tblStylePr>
    <w:tblStylePr w:type="band1Horz">
      <w:tblPr/>
      <w:tcPr>
        <w:tcBorders>
          <w:top w:val="nil"/>
          <w:left w:val="nil"/>
          <w:bottom w:val="nil"/>
          <w:right w:val="nil"/>
          <w:insideH w:val="nil"/>
          <w:insideV w:val="nil"/>
        </w:tcBorders>
        <w:shd w:val="clear" w:fill="FFFFF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fill="FFFFFF"/>
    </w:tcPr>
    <w:tblStylePr w:type="firstRow">
      <w:rPr>
        <w:b/>
        <w:bCs/>
      </w:rPr>
      <w:tblPr/>
      <w:tcPr>
        <w:tcBorders>
          <w:top w:val="nil"/>
          <w:left w:val="nil"/>
          <w:bottom w:val="single" w:sz="18" w:space="0" w:color="FFFFFF" w:themeColor="background1"/>
          <w:right w:val="nil"/>
          <w:insideH w:val="nil"/>
          <w:insideV w:val="nil"/>
        </w:tcBorders>
        <w:shd w:val="clear" w:fill="FFFFFF"/>
      </w:tcPr>
    </w:tblStylePr>
    <w:tblStylePr w:type="lastRow">
      <w:tblPr/>
      <w:tcPr>
        <w:tcBorders>
          <w:top w:val="single" w:sz="18" w:space="0" w:color="FFFFFF" w:themeColor="background1"/>
          <w:left w:val="nil"/>
          <w:bottom w:val="nil"/>
          <w:right w:val="nil"/>
          <w:insideH w:val="nil"/>
          <w:insideV w:val="nil"/>
        </w:tcBorders>
        <w:shd w:val="clear" w:fill="FFFFFF"/>
      </w:tcPr>
    </w:tblStylePr>
    <w:tblStylePr w:type="firstCol">
      <w:tblPr/>
      <w:tcPr>
        <w:tcBorders>
          <w:top w:val="nil"/>
          <w:left w:val="nil"/>
          <w:bottom w:val="nil"/>
          <w:right w:val="single" w:sz="18" w:space="0" w:color="FFFFFF" w:themeColor="background1"/>
          <w:insideH w:val="nil"/>
          <w:insideV w:val="nil"/>
        </w:tcBorders>
        <w:shd w:val="clear" w:fill="FFFFFF"/>
      </w:tcPr>
    </w:tblStylePr>
    <w:tblStylePr w:type="lastCol">
      <w:tblPr/>
      <w:tcPr>
        <w:tcBorders>
          <w:top w:val="nil"/>
          <w:left w:val="single" w:sz="18" w:space="0" w:color="FFFFFF" w:themeColor="background1"/>
          <w:bottom w:val="nil"/>
          <w:right w:val="nil"/>
          <w:insideH w:val="nil"/>
          <w:insideV w:val="nil"/>
        </w:tcBorders>
        <w:shd w:val="clear" w:fill="FFFFFF"/>
      </w:tcPr>
    </w:tblStylePr>
    <w:tblStylePr w:type="band1Vert">
      <w:tblPr/>
      <w:tcPr>
        <w:tcBorders>
          <w:top w:val="nil"/>
          <w:left w:val="nil"/>
          <w:bottom w:val="nil"/>
          <w:right w:val="nil"/>
          <w:insideH w:val="nil"/>
          <w:insideV w:val="nil"/>
        </w:tcBorders>
        <w:shd w:val="clear" w:fill="FFFFFF"/>
      </w:tcPr>
    </w:tblStylePr>
    <w:tblStylePr w:type="band1Horz">
      <w:tblPr/>
      <w:tcPr>
        <w:tcBorders>
          <w:top w:val="nil"/>
          <w:left w:val="nil"/>
          <w:bottom w:val="nil"/>
          <w:right w:val="nil"/>
          <w:insideH w:val="nil"/>
          <w:insideV w:val="nil"/>
        </w:tcBorders>
        <w:shd w:val="clear" w:fill="FFFFF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fill="FFFFFF"/>
    </w:tcPr>
    <w:tblStylePr w:type="firstRow">
      <w:rPr>
        <w:b/>
        <w:bCs/>
      </w:rPr>
      <w:tblPr/>
      <w:tcPr>
        <w:tcBorders>
          <w:top w:val="nil"/>
          <w:left w:val="nil"/>
          <w:bottom w:val="single" w:sz="18" w:space="0" w:color="FFFFFF" w:themeColor="background1"/>
          <w:right w:val="nil"/>
          <w:insideH w:val="nil"/>
          <w:insideV w:val="nil"/>
        </w:tcBorders>
        <w:shd w:val="clear" w:fill="FFFFFF"/>
      </w:tcPr>
    </w:tblStylePr>
    <w:tblStylePr w:type="lastRow">
      <w:tblPr/>
      <w:tcPr>
        <w:tcBorders>
          <w:top w:val="single" w:sz="18" w:space="0" w:color="FFFFFF" w:themeColor="background1"/>
          <w:left w:val="nil"/>
          <w:bottom w:val="nil"/>
          <w:right w:val="nil"/>
          <w:insideH w:val="nil"/>
          <w:insideV w:val="nil"/>
        </w:tcBorders>
        <w:shd w:val="clear" w:fill="FFFFFF"/>
      </w:tcPr>
    </w:tblStylePr>
    <w:tblStylePr w:type="firstCol">
      <w:tblPr/>
      <w:tcPr>
        <w:tcBorders>
          <w:top w:val="nil"/>
          <w:left w:val="nil"/>
          <w:bottom w:val="nil"/>
          <w:right w:val="single" w:sz="18" w:space="0" w:color="FFFFFF" w:themeColor="background1"/>
          <w:insideH w:val="nil"/>
          <w:insideV w:val="nil"/>
        </w:tcBorders>
        <w:shd w:val="clear" w:fill="FFFFFF"/>
      </w:tcPr>
    </w:tblStylePr>
    <w:tblStylePr w:type="lastCol">
      <w:tblPr/>
      <w:tcPr>
        <w:tcBorders>
          <w:top w:val="nil"/>
          <w:left w:val="single" w:sz="18" w:space="0" w:color="FFFFFF" w:themeColor="background1"/>
          <w:bottom w:val="nil"/>
          <w:right w:val="nil"/>
          <w:insideH w:val="nil"/>
          <w:insideV w:val="nil"/>
        </w:tcBorders>
        <w:shd w:val="clear" w:fill="FFFFFF"/>
      </w:tcPr>
    </w:tblStylePr>
    <w:tblStylePr w:type="band1Vert">
      <w:tblPr/>
      <w:tcPr>
        <w:tcBorders>
          <w:top w:val="nil"/>
          <w:left w:val="nil"/>
          <w:bottom w:val="nil"/>
          <w:right w:val="nil"/>
          <w:insideH w:val="nil"/>
          <w:insideV w:val="nil"/>
        </w:tcBorders>
        <w:shd w:val="clear" w:fill="FFFFFF"/>
      </w:tcPr>
    </w:tblStylePr>
    <w:tblStylePr w:type="band1Horz">
      <w:tblPr/>
      <w:tcPr>
        <w:tcBorders>
          <w:top w:val="nil"/>
          <w:left w:val="nil"/>
          <w:bottom w:val="nil"/>
          <w:right w:val="nil"/>
          <w:insideH w:val="nil"/>
          <w:insideV w:val="nil"/>
        </w:tcBorders>
        <w:shd w:val="clear" w:fill="FFFFF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fill="FFFFFF"/>
    </w:tcPr>
    <w:tblStylePr w:type="firstRow">
      <w:rPr>
        <w:b/>
        <w:bCs/>
      </w:rPr>
      <w:tblPr/>
      <w:tcPr>
        <w:tcBorders>
          <w:top w:val="nil"/>
          <w:left w:val="nil"/>
          <w:bottom w:val="single" w:sz="18" w:space="0" w:color="FFFFFF" w:themeColor="background1"/>
          <w:right w:val="nil"/>
          <w:insideH w:val="nil"/>
          <w:insideV w:val="nil"/>
        </w:tcBorders>
        <w:shd w:val="clear" w:fill="FFFFFF"/>
      </w:tcPr>
    </w:tblStylePr>
    <w:tblStylePr w:type="lastRow">
      <w:tblPr/>
      <w:tcPr>
        <w:tcBorders>
          <w:top w:val="single" w:sz="18" w:space="0" w:color="FFFFFF" w:themeColor="background1"/>
          <w:left w:val="nil"/>
          <w:bottom w:val="nil"/>
          <w:right w:val="nil"/>
          <w:insideH w:val="nil"/>
          <w:insideV w:val="nil"/>
        </w:tcBorders>
        <w:shd w:val="clear" w:fill="FFFFFF"/>
      </w:tcPr>
    </w:tblStylePr>
    <w:tblStylePr w:type="firstCol">
      <w:tblPr/>
      <w:tcPr>
        <w:tcBorders>
          <w:top w:val="nil"/>
          <w:left w:val="nil"/>
          <w:bottom w:val="nil"/>
          <w:right w:val="single" w:sz="18" w:space="0" w:color="FFFFFF" w:themeColor="background1"/>
          <w:insideH w:val="nil"/>
          <w:insideV w:val="nil"/>
        </w:tcBorders>
        <w:shd w:val="clear" w:fill="FFFFFF"/>
      </w:tcPr>
    </w:tblStylePr>
    <w:tblStylePr w:type="lastCol">
      <w:tblPr/>
      <w:tcPr>
        <w:tcBorders>
          <w:top w:val="nil"/>
          <w:left w:val="single" w:sz="18" w:space="0" w:color="FFFFFF" w:themeColor="background1"/>
          <w:bottom w:val="nil"/>
          <w:right w:val="nil"/>
          <w:insideH w:val="nil"/>
          <w:insideV w:val="nil"/>
        </w:tcBorders>
        <w:shd w:val="clear" w:fill="FFFFFF"/>
      </w:tcPr>
    </w:tblStylePr>
    <w:tblStylePr w:type="band1Vert">
      <w:tblPr/>
      <w:tcPr>
        <w:tcBorders>
          <w:top w:val="nil"/>
          <w:left w:val="nil"/>
          <w:bottom w:val="nil"/>
          <w:right w:val="nil"/>
          <w:insideH w:val="nil"/>
          <w:insideV w:val="nil"/>
        </w:tcBorders>
        <w:shd w:val="clear" w:fill="FFFFFF"/>
      </w:tcPr>
    </w:tblStylePr>
    <w:tblStylePr w:type="band1Horz">
      <w:tblPr/>
      <w:tcPr>
        <w:tcBorders>
          <w:top w:val="nil"/>
          <w:left w:val="nil"/>
          <w:bottom w:val="nil"/>
          <w:right w:val="nil"/>
          <w:insideH w:val="nil"/>
          <w:insideV w:val="nil"/>
        </w:tcBorders>
        <w:shd w:val="clear" w:fill="FFFFF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fill="FFFFFF"/>
    </w:tcPr>
    <w:tblStylePr w:type="firstRow">
      <w:rPr>
        <w:b/>
        <w:bCs/>
      </w:rPr>
      <w:tblPr/>
      <w:tcPr>
        <w:tcBorders>
          <w:top w:val="nil"/>
          <w:left w:val="nil"/>
          <w:bottom w:val="single" w:sz="18" w:space="0" w:color="FFFFFF" w:themeColor="background1"/>
          <w:right w:val="nil"/>
          <w:insideH w:val="nil"/>
          <w:insideV w:val="nil"/>
        </w:tcBorders>
        <w:shd w:val="clear" w:fill="FFFFFF"/>
      </w:tcPr>
    </w:tblStylePr>
    <w:tblStylePr w:type="lastRow">
      <w:tblPr/>
      <w:tcPr>
        <w:tcBorders>
          <w:top w:val="single" w:sz="18" w:space="0" w:color="FFFFFF" w:themeColor="background1"/>
          <w:left w:val="nil"/>
          <w:bottom w:val="nil"/>
          <w:right w:val="nil"/>
          <w:insideH w:val="nil"/>
          <w:insideV w:val="nil"/>
        </w:tcBorders>
        <w:shd w:val="clear" w:fill="FFFFFF"/>
      </w:tcPr>
    </w:tblStylePr>
    <w:tblStylePr w:type="firstCol">
      <w:tblPr/>
      <w:tcPr>
        <w:tcBorders>
          <w:top w:val="nil"/>
          <w:left w:val="nil"/>
          <w:bottom w:val="nil"/>
          <w:right w:val="single" w:sz="18" w:space="0" w:color="FFFFFF" w:themeColor="background1"/>
          <w:insideH w:val="nil"/>
          <w:insideV w:val="nil"/>
        </w:tcBorders>
        <w:shd w:val="clear" w:fill="FFFFFF"/>
      </w:tcPr>
    </w:tblStylePr>
    <w:tblStylePr w:type="lastCol">
      <w:tblPr/>
      <w:tcPr>
        <w:tcBorders>
          <w:top w:val="nil"/>
          <w:left w:val="single" w:sz="18" w:space="0" w:color="FFFFFF" w:themeColor="background1"/>
          <w:bottom w:val="nil"/>
          <w:right w:val="nil"/>
          <w:insideH w:val="nil"/>
          <w:insideV w:val="nil"/>
        </w:tcBorders>
        <w:shd w:val="clear" w:fill="FFFFFF"/>
      </w:tcPr>
    </w:tblStylePr>
    <w:tblStylePr w:type="band1Vert">
      <w:tblPr/>
      <w:tcPr>
        <w:tcBorders>
          <w:top w:val="nil"/>
          <w:left w:val="nil"/>
          <w:bottom w:val="nil"/>
          <w:right w:val="nil"/>
          <w:insideH w:val="nil"/>
          <w:insideV w:val="nil"/>
        </w:tcBorders>
        <w:shd w:val="clear" w:fill="FFFFFF"/>
      </w:tcPr>
    </w:tblStylePr>
    <w:tblStylePr w:type="band1Horz">
      <w:tblPr/>
      <w:tcPr>
        <w:tcBorders>
          <w:top w:val="nil"/>
          <w:left w:val="nil"/>
          <w:bottom w:val="nil"/>
          <w:right w:val="nil"/>
          <w:insideH w:val="nil"/>
          <w:insideV w:val="nil"/>
        </w:tcBorders>
        <w:shd w:val="clear" w:fill="FFFFF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fill="FFFFFF"/>
    </w:tcPr>
    <w:tblStylePr w:type="firstRow">
      <w:rPr>
        <w:b/>
        <w:bCs/>
      </w:rPr>
      <w:tblPr/>
      <w:tcPr>
        <w:tcBorders>
          <w:top w:val="nil"/>
          <w:left w:val="nil"/>
          <w:bottom w:val="single" w:sz="18" w:space="0" w:color="FFFFFF" w:themeColor="background1"/>
          <w:right w:val="nil"/>
          <w:insideH w:val="nil"/>
          <w:insideV w:val="nil"/>
        </w:tcBorders>
        <w:shd w:val="clear" w:fill="FFFFFF"/>
      </w:tcPr>
    </w:tblStylePr>
    <w:tblStylePr w:type="lastRow">
      <w:tblPr/>
      <w:tcPr>
        <w:tcBorders>
          <w:top w:val="single" w:sz="18" w:space="0" w:color="FFFFFF" w:themeColor="background1"/>
          <w:left w:val="nil"/>
          <w:bottom w:val="nil"/>
          <w:right w:val="nil"/>
          <w:insideH w:val="nil"/>
          <w:insideV w:val="nil"/>
        </w:tcBorders>
        <w:shd w:val="clear" w:fill="FFFFFF"/>
      </w:tcPr>
    </w:tblStylePr>
    <w:tblStylePr w:type="firstCol">
      <w:tblPr/>
      <w:tcPr>
        <w:tcBorders>
          <w:top w:val="nil"/>
          <w:left w:val="nil"/>
          <w:bottom w:val="nil"/>
          <w:right w:val="single" w:sz="18" w:space="0" w:color="FFFFFF" w:themeColor="background1"/>
          <w:insideH w:val="nil"/>
          <w:insideV w:val="nil"/>
        </w:tcBorders>
        <w:shd w:val="clear" w:fill="FFFFFF"/>
      </w:tcPr>
    </w:tblStylePr>
    <w:tblStylePr w:type="lastCol">
      <w:tblPr/>
      <w:tcPr>
        <w:tcBorders>
          <w:top w:val="nil"/>
          <w:left w:val="single" w:sz="18" w:space="0" w:color="FFFFFF" w:themeColor="background1"/>
          <w:bottom w:val="nil"/>
          <w:right w:val="nil"/>
          <w:insideH w:val="nil"/>
          <w:insideV w:val="nil"/>
        </w:tcBorders>
        <w:shd w:val="clear" w:fill="FFFFFF"/>
      </w:tcPr>
    </w:tblStylePr>
    <w:tblStylePr w:type="band1Vert">
      <w:tblPr/>
      <w:tcPr>
        <w:tcBorders>
          <w:top w:val="nil"/>
          <w:left w:val="nil"/>
          <w:bottom w:val="nil"/>
          <w:right w:val="nil"/>
          <w:insideH w:val="nil"/>
          <w:insideV w:val="nil"/>
        </w:tcBorders>
        <w:shd w:val="clear" w:fill="FFFFFF"/>
      </w:tcPr>
    </w:tblStylePr>
    <w:tblStylePr w:type="band1Horz">
      <w:tblPr/>
      <w:tcPr>
        <w:tcBorders>
          <w:top w:val="nil"/>
          <w:left w:val="nil"/>
          <w:bottom w:val="nil"/>
          <w:right w:val="nil"/>
          <w:insideH w:val="nil"/>
          <w:insideV w:val="nil"/>
        </w:tcBorders>
        <w:shd w:val="clear"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fill="FFFFFF"/>
    </w:tcPr>
    <w:tblStylePr w:type="firstRow">
      <w:rPr>
        <w:b/>
        <w:bCs/>
      </w:rPr>
      <w:tblPr/>
      <w:tcPr>
        <w:tcBorders>
          <w:top w:val="nil"/>
          <w:left w:val="nil"/>
          <w:bottom w:val="single" w:sz="24" w:space="0" w:color="C0504D" w:themeColor="accent2"/>
          <w:right w:val="nil"/>
          <w:insideH w:val="nil"/>
          <w:insideV w:val="nil"/>
        </w:tcBorders>
        <w:shd w:val="clear" w:fill="FFFFFF"/>
      </w:tcPr>
    </w:tblStylePr>
    <w:tblStylePr w:type="lastRow">
      <w:rPr>
        <w:b/>
        <w:bCs/>
        <w:color w:val="000000"/>
      </w:rPr>
      <w:tblPr/>
      <w:tcPr>
        <w:tcBorders>
          <w:top w:val="single" w:sz="6" w:space="0" w:color="FFFFFF" w:themeColor="background1"/>
        </w:tcBorders>
        <w:shd w:val="clear" w:fill="FFFFFF"/>
      </w:tcPr>
    </w:tblStylePr>
    <w:tblStylePr w:type="firstCol">
      <w:rPr>
        <w:color w:val="000000"/>
      </w:rPr>
      <w:tblPr/>
      <w:tcPr>
        <w:tcBorders>
          <w:top w:val="nil"/>
          <w:left w:val="nil"/>
          <w:bottom w:val="nil"/>
          <w:right w:val="nil"/>
          <w:insideH w:val="single" w:sz="4" w:space="0" w:color="000000" w:themeColor="text1" w:themeShade="99"/>
          <w:insideV w:val="nil"/>
        </w:tcBorders>
        <w:shd w:val="clear" w:fill="FFFFFF"/>
      </w:tcPr>
    </w:tblStylePr>
    <w:tblStylePr w:type="lastCol">
      <w:rPr>
        <w:color w:val="000000"/>
      </w:rPr>
      <w:tblPr/>
      <w:tcPr>
        <w:tcBorders>
          <w:top w:val="nil"/>
          <w:left w:val="nil"/>
          <w:bottom w:val="nil"/>
          <w:right w:val="nil"/>
          <w:insideH w:val="nil"/>
          <w:insideV w:val="nil"/>
        </w:tcBorders>
        <w:shd w:val="clear" w:fill="FFFFFF"/>
      </w:tcPr>
    </w:tblStylePr>
    <w:tblStylePr w:type="band1Vert">
      <w:tblPr/>
      <w:tcPr>
        <w:shd w:val="clear" w:fill="FFFFFF"/>
      </w:tcPr>
    </w:tblStylePr>
    <w:tblStylePr w:type="band1Horz">
      <w:tblPr/>
      <w:tcPr>
        <w:shd w:val="clear"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fill="FFFFFF"/>
    </w:tcPr>
    <w:tblStylePr w:type="firstRow">
      <w:rPr>
        <w:b/>
        <w:bCs/>
      </w:rPr>
      <w:tblPr/>
      <w:tcPr>
        <w:tcBorders>
          <w:top w:val="nil"/>
          <w:left w:val="nil"/>
          <w:bottom w:val="single" w:sz="24" w:space="0" w:color="C0504D" w:themeColor="accent2"/>
          <w:right w:val="nil"/>
          <w:insideH w:val="nil"/>
          <w:insideV w:val="nil"/>
        </w:tcBorders>
        <w:shd w:val="clear" w:fill="FFFFFF"/>
      </w:tcPr>
    </w:tblStylePr>
    <w:tblStylePr w:type="lastRow">
      <w:rPr>
        <w:b/>
        <w:bCs/>
        <w:color w:val="000000"/>
      </w:rPr>
      <w:tblPr/>
      <w:tcPr>
        <w:tcBorders>
          <w:top w:val="single" w:sz="6" w:space="0" w:color="FFFFFF" w:themeColor="background1"/>
        </w:tcBorders>
        <w:shd w:val="clear" w:fill="FFFFFF"/>
      </w:tcPr>
    </w:tblStylePr>
    <w:tblStylePr w:type="firstCol">
      <w:rPr>
        <w:color w:val="000000"/>
      </w:rPr>
      <w:tblPr/>
      <w:tcPr>
        <w:tcBorders>
          <w:top w:val="nil"/>
          <w:left w:val="nil"/>
          <w:bottom w:val="nil"/>
          <w:right w:val="nil"/>
          <w:insideH w:val="single" w:sz="4" w:space="0" w:color="2C4C74" w:themeColor="accent1" w:themeShade="99"/>
          <w:insideV w:val="nil"/>
        </w:tcBorders>
        <w:shd w:val="clear" w:fill="FFFFFF"/>
      </w:tcPr>
    </w:tblStylePr>
    <w:tblStylePr w:type="lastCol">
      <w:rPr>
        <w:color w:val="000000"/>
      </w:rPr>
      <w:tblPr/>
      <w:tcPr>
        <w:tcBorders>
          <w:top w:val="nil"/>
          <w:left w:val="nil"/>
          <w:bottom w:val="nil"/>
          <w:right w:val="nil"/>
          <w:insideH w:val="nil"/>
          <w:insideV w:val="nil"/>
        </w:tcBorders>
        <w:shd w:val="clear" w:fill="FFFFFF"/>
      </w:tcPr>
    </w:tblStylePr>
    <w:tblStylePr w:type="band1Vert">
      <w:tblPr/>
      <w:tcPr>
        <w:shd w:val="clear" w:fill="FFFFFF"/>
      </w:tcPr>
    </w:tblStylePr>
    <w:tblStylePr w:type="band1Horz">
      <w:tblPr/>
      <w:tcPr>
        <w:shd w:val="clear"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fill="FFFFFF"/>
    </w:tcPr>
    <w:tblStylePr w:type="firstRow">
      <w:rPr>
        <w:b/>
        <w:bCs/>
      </w:rPr>
      <w:tblPr/>
      <w:tcPr>
        <w:tcBorders>
          <w:top w:val="nil"/>
          <w:left w:val="nil"/>
          <w:bottom w:val="single" w:sz="24" w:space="0" w:color="C0504D" w:themeColor="accent2"/>
          <w:right w:val="nil"/>
          <w:insideH w:val="nil"/>
          <w:insideV w:val="nil"/>
        </w:tcBorders>
        <w:shd w:val="clear" w:fill="FFFFFF"/>
      </w:tcPr>
    </w:tblStylePr>
    <w:tblStylePr w:type="lastRow">
      <w:rPr>
        <w:b/>
        <w:bCs/>
        <w:color w:val="000000"/>
      </w:rPr>
      <w:tblPr/>
      <w:tcPr>
        <w:tcBorders>
          <w:top w:val="single" w:sz="6" w:space="0" w:color="FFFFFF" w:themeColor="background1"/>
        </w:tcBorders>
        <w:shd w:val="clear" w:fill="FFFFFF"/>
      </w:tcPr>
    </w:tblStylePr>
    <w:tblStylePr w:type="firstCol">
      <w:rPr>
        <w:color w:val="000000"/>
      </w:rPr>
      <w:tblPr/>
      <w:tcPr>
        <w:tcBorders>
          <w:top w:val="nil"/>
          <w:left w:val="nil"/>
          <w:bottom w:val="nil"/>
          <w:right w:val="nil"/>
          <w:insideH w:val="single" w:sz="4" w:space="0" w:color="772C2A" w:themeColor="accent2" w:themeShade="99"/>
          <w:insideV w:val="nil"/>
        </w:tcBorders>
        <w:shd w:val="clear" w:fill="FFFFFF"/>
      </w:tcPr>
    </w:tblStylePr>
    <w:tblStylePr w:type="lastCol">
      <w:rPr>
        <w:color w:val="000000"/>
      </w:rPr>
      <w:tblPr/>
      <w:tcPr>
        <w:tcBorders>
          <w:top w:val="nil"/>
          <w:left w:val="nil"/>
          <w:bottom w:val="nil"/>
          <w:right w:val="nil"/>
          <w:insideH w:val="nil"/>
          <w:insideV w:val="nil"/>
        </w:tcBorders>
        <w:shd w:val="clear" w:fill="FFFFFF"/>
      </w:tcPr>
    </w:tblStylePr>
    <w:tblStylePr w:type="band1Vert">
      <w:tblPr/>
      <w:tcPr>
        <w:shd w:val="clear" w:fill="FFFFFF"/>
      </w:tcPr>
    </w:tblStylePr>
    <w:tblStylePr w:type="band1Horz">
      <w:tblPr/>
      <w:tcPr>
        <w:shd w:val="clear"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fill="FFFFFF"/>
    </w:tcPr>
    <w:tblStylePr w:type="firstRow">
      <w:rPr>
        <w:b/>
        <w:bCs/>
      </w:rPr>
      <w:tblPr/>
      <w:tcPr>
        <w:tcBorders>
          <w:top w:val="nil"/>
          <w:left w:val="nil"/>
          <w:bottom w:val="single" w:sz="24" w:space="0" w:color="8064A2" w:themeColor="accent4"/>
          <w:right w:val="nil"/>
          <w:insideH w:val="nil"/>
          <w:insideV w:val="nil"/>
        </w:tcBorders>
        <w:shd w:val="clear" w:fill="FFFFFF"/>
      </w:tcPr>
    </w:tblStylePr>
    <w:tblStylePr w:type="lastRow">
      <w:rPr>
        <w:b/>
        <w:bCs/>
        <w:color w:val="000000"/>
      </w:rPr>
      <w:tblPr/>
      <w:tcPr>
        <w:tcBorders>
          <w:top w:val="single" w:sz="6" w:space="0" w:color="FFFFFF" w:themeColor="background1"/>
        </w:tcBorders>
        <w:shd w:val="clear" w:fill="FFFFFF"/>
      </w:tcPr>
    </w:tblStylePr>
    <w:tblStylePr w:type="firstCol">
      <w:rPr>
        <w:color w:val="000000"/>
      </w:rPr>
      <w:tblPr/>
      <w:tcPr>
        <w:tcBorders>
          <w:top w:val="nil"/>
          <w:left w:val="nil"/>
          <w:bottom w:val="nil"/>
          <w:right w:val="nil"/>
          <w:insideH w:val="single" w:sz="4" w:space="0" w:color="5E7530" w:themeColor="accent3" w:themeShade="99"/>
          <w:insideV w:val="nil"/>
        </w:tcBorders>
        <w:shd w:val="clear" w:fill="FFFFFF"/>
      </w:tcPr>
    </w:tblStylePr>
    <w:tblStylePr w:type="lastCol">
      <w:rPr>
        <w:color w:val="000000"/>
      </w:rPr>
      <w:tblPr/>
      <w:tcPr>
        <w:tcBorders>
          <w:top w:val="nil"/>
          <w:left w:val="nil"/>
          <w:bottom w:val="nil"/>
          <w:right w:val="nil"/>
          <w:insideH w:val="nil"/>
          <w:insideV w:val="nil"/>
        </w:tcBorders>
        <w:shd w:val="clear" w:fill="FFFFFF"/>
      </w:tcPr>
    </w:tblStylePr>
    <w:tblStylePr w:type="band1Vert">
      <w:tblPr/>
      <w:tcPr>
        <w:shd w:val="clear" w:fill="FFFFFF"/>
      </w:tcPr>
    </w:tblStylePr>
    <w:tblStylePr w:type="band1Horz">
      <w:tblPr/>
      <w:tcPr>
        <w:shd w:val="clear"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fill="FFFFFF"/>
    </w:tcPr>
    <w:tblStylePr w:type="firstRow">
      <w:rPr>
        <w:b/>
        <w:bCs/>
      </w:rPr>
      <w:tblPr/>
      <w:tcPr>
        <w:tcBorders>
          <w:top w:val="nil"/>
          <w:left w:val="nil"/>
          <w:bottom w:val="single" w:sz="24" w:space="0" w:color="9BBB59" w:themeColor="accent3"/>
          <w:right w:val="nil"/>
          <w:insideH w:val="nil"/>
          <w:insideV w:val="nil"/>
        </w:tcBorders>
        <w:shd w:val="clear" w:fill="FFFFFF"/>
      </w:tcPr>
    </w:tblStylePr>
    <w:tblStylePr w:type="lastRow">
      <w:rPr>
        <w:b/>
        <w:bCs/>
        <w:color w:val="000000"/>
      </w:rPr>
      <w:tblPr/>
      <w:tcPr>
        <w:tcBorders>
          <w:top w:val="single" w:sz="6" w:space="0" w:color="FFFFFF" w:themeColor="background1"/>
        </w:tcBorders>
        <w:shd w:val="clear" w:fill="FFFFFF"/>
      </w:tcPr>
    </w:tblStylePr>
    <w:tblStylePr w:type="firstCol">
      <w:rPr>
        <w:color w:val="000000"/>
      </w:rPr>
      <w:tblPr/>
      <w:tcPr>
        <w:tcBorders>
          <w:top w:val="nil"/>
          <w:left w:val="nil"/>
          <w:bottom w:val="nil"/>
          <w:right w:val="nil"/>
          <w:insideH w:val="single" w:sz="4" w:space="0" w:color="4C3B62" w:themeColor="accent4" w:themeShade="99"/>
          <w:insideV w:val="nil"/>
        </w:tcBorders>
        <w:shd w:val="clear" w:fill="FFFFFF"/>
      </w:tcPr>
    </w:tblStylePr>
    <w:tblStylePr w:type="lastCol">
      <w:rPr>
        <w:color w:val="000000"/>
      </w:rPr>
      <w:tblPr/>
      <w:tcPr>
        <w:tcBorders>
          <w:top w:val="nil"/>
          <w:left w:val="nil"/>
          <w:bottom w:val="nil"/>
          <w:right w:val="nil"/>
          <w:insideH w:val="nil"/>
          <w:insideV w:val="nil"/>
        </w:tcBorders>
        <w:shd w:val="clear" w:fill="FFFFFF"/>
      </w:tcPr>
    </w:tblStylePr>
    <w:tblStylePr w:type="band1Vert">
      <w:tblPr/>
      <w:tcPr>
        <w:shd w:val="clear" w:fill="FFFFFF"/>
      </w:tcPr>
    </w:tblStylePr>
    <w:tblStylePr w:type="band1Horz">
      <w:tblPr/>
      <w:tcPr>
        <w:shd w:val="clear"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fill="FFFFFF"/>
    </w:tcPr>
    <w:tblStylePr w:type="firstRow">
      <w:rPr>
        <w:b/>
        <w:bCs/>
      </w:rPr>
      <w:tblPr/>
      <w:tcPr>
        <w:tcBorders>
          <w:top w:val="nil"/>
          <w:left w:val="nil"/>
          <w:bottom w:val="single" w:sz="24" w:space="0" w:color="F79646" w:themeColor="accent6"/>
          <w:right w:val="nil"/>
          <w:insideH w:val="nil"/>
          <w:insideV w:val="nil"/>
        </w:tcBorders>
        <w:shd w:val="clear" w:fill="FFFFFF"/>
      </w:tcPr>
    </w:tblStylePr>
    <w:tblStylePr w:type="lastRow">
      <w:rPr>
        <w:b/>
        <w:bCs/>
        <w:color w:val="000000"/>
      </w:rPr>
      <w:tblPr/>
      <w:tcPr>
        <w:tcBorders>
          <w:top w:val="single" w:sz="6" w:space="0" w:color="FFFFFF" w:themeColor="background1"/>
        </w:tcBorders>
        <w:shd w:val="clear" w:fill="FFFFFF"/>
      </w:tcPr>
    </w:tblStylePr>
    <w:tblStylePr w:type="firstCol">
      <w:rPr>
        <w:color w:val="000000"/>
      </w:rPr>
      <w:tblPr/>
      <w:tcPr>
        <w:tcBorders>
          <w:top w:val="nil"/>
          <w:left w:val="nil"/>
          <w:bottom w:val="nil"/>
          <w:right w:val="nil"/>
          <w:insideH w:val="single" w:sz="4" w:space="0" w:color="276A7C" w:themeColor="accent5" w:themeShade="99"/>
          <w:insideV w:val="nil"/>
        </w:tcBorders>
        <w:shd w:val="clear" w:fill="FFFFFF"/>
      </w:tcPr>
    </w:tblStylePr>
    <w:tblStylePr w:type="lastCol">
      <w:rPr>
        <w:color w:val="000000"/>
      </w:rPr>
      <w:tblPr/>
      <w:tcPr>
        <w:tcBorders>
          <w:top w:val="nil"/>
          <w:left w:val="nil"/>
          <w:bottom w:val="nil"/>
          <w:right w:val="nil"/>
          <w:insideH w:val="nil"/>
          <w:insideV w:val="nil"/>
        </w:tcBorders>
        <w:shd w:val="clear" w:fill="FFFFFF"/>
      </w:tcPr>
    </w:tblStylePr>
    <w:tblStylePr w:type="band1Vert">
      <w:tblPr/>
      <w:tcPr>
        <w:shd w:val="clear" w:fill="FFFFFF"/>
      </w:tcPr>
    </w:tblStylePr>
    <w:tblStylePr w:type="band1Horz">
      <w:tblPr/>
      <w:tcPr>
        <w:shd w:val="clear"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fill="FFFFFF"/>
    </w:tcPr>
    <w:tblStylePr w:type="firstRow">
      <w:rPr>
        <w:b/>
        <w:bCs/>
      </w:rPr>
      <w:tblPr/>
      <w:tcPr>
        <w:tcBorders>
          <w:top w:val="nil"/>
          <w:left w:val="nil"/>
          <w:bottom w:val="single" w:sz="24" w:space="0" w:color="4BACC6" w:themeColor="accent5"/>
          <w:right w:val="nil"/>
          <w:insideH w:val="nil"/>
          <w:insideV w:val="nil"/>
        </w:tcBorders>
        <w:shd w:val="clear" w:fill="FFFFFF"/>
      </w:tcPr>
    </w:tblStylePr>
    <w:tblStylePr w:type="lastRow">
      <w:rPr>
        <w:b/>
        <w:bCs/>
        <w:color w:val="000000"/>
      </w:rPr>
      <w:tblPr/>
      <w:tcPr>
        <w:tcBorders>
          <w:top w:val="single" w:sz="6" w:space="0" w:color="FFFFFF" w:themeColor="background1"/>
        </w:tcBorders>
        <w:shd w:val="clear" w:fill="FFFFFF"/>
      </w:tcPr>
    </w:tblStylePr>
    <w:tblStylePr w:type="firstCol">
      <w:rPr>
        <w:color w:val="000000"/>
      </w:rPr>
      <w:tblPr/>
      <w:tcPr>
        <w:tcBorders>
          <w:top w:val="nil"/>
          <w:left w:val="nil"/>
          <w:bottom w:val="nil"/>
          <w:right w:val="nil"/>
          <w:insideH w:val="single" w:sz="4" w:space="0" w:color="B65608" w:themeColor="accent6" w:themeShade="99"/>
          <w:insideV w:val="nil"/>
        </w:tcBorders>
        <w:shd w:val="clear" w:fill="FFFFFF"/>
      </w:tcPr>
    </w:tblStylePr>
    <w:tblStylePr w:type="lastCol">
      <w:rPr>
        <w:color w:val="000000"/>
      </w:rPr>
      <w:tblPr/>
      <w:tcPr>
        <w:tcBorders>
          <w:top w:val="nil"/>
          <w:left w:val="nil"/>
          <w:bottom w:val="nil"/>
          <w:right w:val="nil"/>
          <w:insideH w:val="nil"/>
          <w:insideV w:val="nil"/>
        </w:tcBorders>
        <w:shd w:val="clear" w:fill="FFFFFF"/>
      </w:tcPr>
    </w:tblStylePr>
    <w:tblStylePr w:type="band1Vert">
      <w:tblPr/>
      <w:tcPr>
        <w:shd w:val="clear" w:fill="FFFFFF"/>
      </w:tcPr>
    </w:tblStylePr>
    <w:tblStylePr w:type="band1Horz">
      <w:tblPr/>
      <w:tcPr>
        <w:shd w:val="clear"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fill="FFFFFF"/>
    </w:tcPr>
    <w:tblStylePr w:type="firstRow">
      <w:rPr>
        <w:b/>
        <w:bCs/>
        <w:color w:val="000000"/>
      </w:rPr>
      <w:tblPr/>
      <w:tcPr>
        <w:tcBorders>
          <w:bottom w:val="single" w:sz="12" w:space="0" w:color="FFFFFF" w:themeColor="background1"/>
        </w:tcBorders>
        <w:shd w:val="clear" w:fill="FFFFFF"/>
      </w:tcPr>
    </w:tblStylePr>
    <w:tblStylePr w:type="lastRow">
      <w:rPr>
        <w:b/>
        <w:bCs/>
        <w:color w:val="000000"/>
      </w:rPr>
      <w:tblPr/>
      <w:tcPr>
        <w:tcBorders>
          <w:top w:val="single" w:sz="12" w:space="0" w:color="000000" w:themeColor="text1"/>
        </w:tcBorders>
        <w:shd w:val="clear"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fill="FFFFFF"/>
      </w:tcPr>
    </w:tblStylePr>
    <w:tblStylePr w:type="band1Horz">
      <w:tblPr/>
      <w:tcPr>
        <w:shd w:val="clear"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fill="FFFFFF"/>
    </w:tcPr>
    <w:tblStylePr w:type="firstRow">
      <w:rPr>
        <w:b/>
        <w:bCs/>
        <w:color w:val="000000"/>
      </w:rPr>
      <w:tblPr/>
      <w:tcPr>
        <w:tcBorders>
          <w:bottom w:val="single" w:sz="12" w:space="0" w:color="FFFFFF" w:themeColor="background1"/>
        </w:tcBorders>
        <w:shd w:val="clear" w:fill="FFFFFF"/>
      </w:tcPr>
    </w:tblStylePr>
    <w:tblStylePr w:type="lastRow">
      <w:rPr>
        <w:b/>
        <w:bCs/>
        <w:color w:val="000000"/>
      </w:rPr>
      <w:tblPr/>
      <w:tcPr>
        <w:tcBorders>
          <w:top w:val="single" w:sz="12" w:space="0" w:color="000000" w:themeColor="text1"/>
        </w:tcBorders>
        <w:shd w:val="clear"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fill="FFFFFF"/>
      </w:tcPr>
    </w:tblStylePr>
    <w:tblStylePr w:type="band1Horz">
      <w:tblPr/>
      <w:tcPr>
        <w:shd w:val="clear"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fill="FFFFFF"/>
    </w:tcPr>
    <w:tblStylePr w:type="firstRow">
      <w:rPr>
        <w:b/>
        <w:bCs/>
        <w:color w:val="000000"/>
      </w:rPr>
      <w:tblPr/>
      <w:tcPr>
        <w:tcBorders>
          <w:bottom w:val="single" w:sz="12" w:space="0" w:color="FFFFFF" w:themeColor="background1"/>
        </w:tcBorders>
        <w:shd w:val="clear" w:fill="FFFFFF"/>
      </w:tcPr>
    </w:tblStylePr>
    <w:tblStylePr w:type="lastRow">
      <w:rPr>
        <w:b/>
        <w:bCs/>
        <w:color w:val="000000"/>
      </w:rPr>
      <w:tblPr/>
      <w:tcPr>
        <w:tcBorders>
          <w:top w:val="single" w:sz="12" w:space="0" w:color="000000" w:themeColor="text1"/>
        </w:tcBorders>
        <w:shd w:val="clear"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fill="FFFFFF"/>
      </w:tcPr>
    </w:tblStylePr>
    <w:tblStylePr w:type="band1Horz">
      <w:tblPr/>
      <w:tcPr>
        <w:shd w:val="clear"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fill="FFFFFF"/>
    </w:tcPr>
    <w:tblStylePr w:type="firstRow">
      <w:rPr>
        <w:b/>
        <w:bCs/>
        <w:color w:val="000000"/>
      </w:rPr>
      <w:tblPr/>
      <w:tcPr>
        <w:tcBorders>
          <w:bottom w:val="single" w:sz="12" w:space="0" w:color="FFFFFF" w:themeColor="background1"/>
        </w:tcBorders>
        <w:shd w:val="clear" w:fill="FFFFFF"/>
      </w:tcPr>
    </w:tblStylePr>
    <w:tblStylePr w:type="lastRow">
      <w:rPr>
        <w:b/>
        <w:bCs/>
        <w:color w:val="000000"/>
      </w:rPr>
      <w:tblPr/>
      <w:tcPr>
        <w:tcBorders>
          <w:top w:val="single" w:sz="12" w:space="0" w:color="000000" w:themeColor="text1"/>
        </w:tcBorders>
        <w:shd w:val="clear"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fill="FFFFFF"/>
      </w:tcPr>
    </w:tblStylePr>
    <w:tblStylePr w:type="band1Horz">
      <w:tblPr/>
      <w:tcPr>
        <w:shd w:val="clear"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fill="FFFFFF"/>
    </w:tcPr>
    <w:tblStylePr w:type="firstRow">
      <w:rPr>
        <w:b/>
        <w:bCs/>
        <w:color w:val="000000"/>
      </w:rPr>
      <w:tblPr/>
      <w:tcPr>
        <w:tcBorders>
          <w:bottom w:val="single" w:sz="12" w:space="0" w:color="FFFFFF" w:themeColor="background1"/>
        </w:tcBorders>
        <w:shd w:val="clear" w:fill="FFFFFF"/>
      </w:tcPr>
    </w:tblStylePr>
    <w:tblStylePr w:type="lastRow">
      <w:rPr>
        <w:b/>
        <w:bCs/>
        <w:color w:val="000000"/>
      </w:rPr>
      <w:tblPr/>
      <w:tcPr>
        <w:tcBorders>
          <w:top w:val="single" w:sz="12" w:space="0" w:color="000000" w:themeColor="text1"/>
        </w:tcBorders>
        <w:shd w:val="clear"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fill="FFFFFF"/>
      </w:tcPr>
    </w:tblStylePr>
    <w:tblStylePr w:type="band1Horz">
      <w:tblPr/>
      <w:tcPr>
        <w:shd w:val="clear"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fill="FFFFFF"/>
    </w:tcPr>
    <w:tblStylePr w:type="firstRow">
      <w:rPr>
        <w:b/>
        <w:bCs/>
        <w:color w:val="000000"/>
      </w:rPr>
      <w:tblPr/>
      <w:tcPr>
        <w:tcBorders>
          <w:bottom w:val="single" w:sz="12" w:space="0" w:color="FFFFFF" w:themeColor="background1"/>
        </w:tcBorders>
        <w:shd w:val="clear" w:fill="FFFFFF"/>
      </w:tcPr>
    </w:tblStylePr>
    <w:tblStylePr w:type="lastRow">
      <w:rPr>
        <w:b/>
        <w:bCs/>
        <w:color w:val="000000"/>
      </w:rPr>
      <w:tblPr/>
      <w:tcPr>
        <w:tcBorders>
          <w:top w:val="single" w:sz="12" w:space="0" w:color="000000" w:themeColor="text1"/>
        </w:tcBorders>
        <w:shd w:val="clear"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fill="FFFFFF"/>
      </w:tcPr>
    </w:tblStylePr>
    <w:tblStylePr w:type="band1Horz">
      <w:tblPr/>
      <w:tcPr>
        <w:shd w:val="clear"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fill="FFFFFF"/>
    </w:tcPr>
    <w:tblStylePr w:type="firstRow">
      <w:rPr>
        <w:b/>
        <w:bCs/>
        <w:color w:val="000000"/>
      </w:rPr>
      <w:tblPr/>
      <w:tcPr>
        <w:tcBorders>
          <w:bottom w:val="single" w:sz="12" w:space="0" w:color="FFFFFF" w:themeColor="background1"/>
        </w:tcBorders>
        <w:shd w:val="clear" w:fill="FFFFFF"/>
      </w:tcPr>
    </w:tblStylePr>
    <w:tblStylePr w:type="lastRow">
      <w:rPr>
        <w:b/>
        <w:bCs/>
        <w:color w:val="000000"/>
      </w:rPr>
      <w:tblPr/>
      <w:tcPr>
        <w:tcBorders>
          <w:top w:val="single" w:sz="12" w:space="0" w:color="000000" w:themeColor="text1"/>
        </w:tcBorders>
        <w:shd w:val="clear"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fill="FFFFFF"/>
      </w:tcPr>
    </w:tblStylePr>
    <w:tblStylePr w:type="band1Horz">
      <w:tblPr/>
      <w:tcPr>
        <w:shd w:val="clear"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fill="FFFFFF"/>
    </w:tcPr>
    <w:tblStylePr w:type="firstRow">
      <w:rPr>
        <w:b/>
        <w:bCs/>
      </w:rPr>
      <w:tblPr/>
      <w:tcPr>
        <w:shd w:val="clear" w:fill="FFFFFF"/>
      </w:tcPr>
    </w:tblStylePr>
    <w:tblStylePr w:type="lastRow">
      <w:rPr>
        <w:b/>
        <w:bCs/>
        <w:color w:val="000000"/>
      </w:rPr>
      <w:tblPr/>
      <w:tcPr>
        <w:shd w:val="clear" w:fill="FFFFFF"/>
      </w:tcPr>
    </w:tblStylePr>
    <w:tblStylePr w:type="firstCol">
      <w:rPr>
        <w:color w:val="000000"/>
      </w:rPr>
      <w:tblPr/>
      <w:tcPr>
        <w:shd w:val="clear" w:fill="FFFFFF"/>
      </w:tcPr>
    </w:tblStylePr>
    <w:tblStylePr w:type="lastCol">
      <w:rPr>
        <w:color w:val="000000"/>
      </w:rPr>
      <w:tblPr/>
      <w:tcPr>
        <w:shd w:val="clear" w:fill="FFFFFF"/>
      </w:tcPr>
    </w:tblStylePr>
    <w:tblStylePr w:type="band1Vert">
      <w:tblPr/>
      <w:tcPr>
        <w:shd w:val="clear" w:fill="FFFFFF"/>
      </w:tcPr>
    </w:tblStylePr>
    <w:tblStylePr w:type="band1Horz">
      <w:tblPr/>
      <w:tcPr>
        <w:shd w:val="clear"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fill="FFFFFF"/>
    </w:tcPr>
    <w:tblStylePr w:type="firstRow">
      <w:rPr>
        <w:b/>
        <w:bCs/>
      </w:rPr>
      <w:tblPr/>
      <w:tcPr>
        <w:shd w:val="clear" w:fill="FFFFFF"/>
      </w:tcPr>
    </w:tblStylePr>
    <w:tblStylePr w:type="lastRow">
      <w:rPr>
        <w:b/>
        <w:bCs/>
        <w:color w:val="000000"/>
      </w:rPr>
      <w:tblPr/>
      <w:tcPr>
        <w:shd w:val="clear" w:fill="FFFFFF"/>
      </w:tcPr>
    </w:tblStylePr>
    <w:tblStylePr w:type="firstCol">
      <w:rPr>
        <w:color w:val="000000"/>
      </w:rPr>
      <w:tblPr/>
      <w:tcPr>
        <w:shd w:val="clear" w:fill="FFFFFF"/>
      </w:tcPr>
    </w:tblStylePr>
    <w:tblStylePr w:type="lastCol">
      <w:rPr>
        <w:color w:val="000000"/>
      </w:rPr>
      <w:tblPr/>
      <w:tcPr>
        <w:shd w:val="clear" w:fill="FFFFFF"/>
      </w:tcPr>
    </w:tblStylePr>
    <w:tblStylePr w:type="band1Vert">
      <w:tblPr/>
      <w:tcPr>
        <w:shd w:val="clear" w:fill="FFFFFF"/>
      </w:tcPr>
    </w:tblStylePr>
    <w:tblStylePr w:type="band1Horz">
      <w:tblPr/>
      <w:tcPr>
        <w:shd w:val="clear"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fill="FFFFFF"/>
    </w:tcPr>
    <w:tblStylePr w:type="firstRow">
      <w:rPr>
        <w:b/>
        <w:bCs/>
      </w:rPr>
      <w:tblPr/>
      <w:tcPr>
        <w:shd w:val="clear" w:fill="FFFFFF"/>
      </w:tcPr>
    </w:tblStylePr>
    <w:tblStylePr w:type="lastRow">
      <w:rPr>
        <w:b/>
        <w:bCs/>
        <w:color w:val="000000"/>
      </w:rPr>
      <w:tblPr/>
      <w:tcPr>
        <w:shd w:val="clear" w:fill="FFFFFF"/>
      </w:tcPr>
    </w:tblStylePr>
    <w:tblStylePr w:type="firstCol">
      <w:rPr>
        <w:color w:val="000000"/>
      </w:rPr>
      <w:tblPr/>
      <w:tcPr>
        <w:shd w:val="clear" w:fill="FFFFFF"/>
      </w:tcPr>
    </w:tblStylePr>
    <w:tblStylePr w:type="lastCol">
      <w:rPr>
        <w:color w:val="000000"/>
      </w:rPr>
      <w:tblPr/>
      <w:tcPr>
        <w:shd w:val="clear" w:fill="FFFFFF"/>
      </w:tcPr>
    </w:tblStylePr>
    <w:tblStylePr w:type="band1Vert">
      <w:tblPr/>
      <w:tcPr>
        <w:shd w:val="clear" w:fill="FFFFFF"/>
      </w:tcPr>
    </w:tblStylePr>
    <w:tblStylePr w:type="band1Horz">
      <w:tblPr/>
      <w:tcPr>
        <w:shd w:val="clear"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fill="FFFFFF"/>
    </w:tcPr>
    <w:tblStylePr w:type="firstRow">
      <w:rPr>
        <w:b/>
        <w:bCs/>
      </w:rPr>
      <w:tblPr/>
      <w:tcPr>
        <w:shd w:val="clear" w:fill="FFFFFF"/>
      </w:tcPr>
    </w:tblStylePr>
    <w:tblStylePr w:type="lastRow">
      <w:rPr>
        <w:b/>
        <w:bCs/>
        <w:color w:val="000000"/>
      </w:rPr>
      <w:tblPr/>
      <w:tcPr>
        <w:shd w:val="clear" w:fill="FFFFFF"/>
      </w:tcPr>
    </w:tblStylePr>
    <w:tblStylePr w:type="firstCol">
      <w:rPr>
        <w:color w:val="000000"/>
      </w:rPr>
      <w:tblPr/>
      <w:tcPr>
        <w:shd w:val="clear" w:fill="FFFFFF"/>
      </w:tcPr>
    </w:tblStylePr>
    <w:tblStylePr w:type="lastCol">
      <w:rPr>
        <w:color w:val="000000"/>
      </w:rPr>
      <w:tblPr/>
      <w:tcPr>
        <w:shd w:val="clear" w:fill="FFFFFF"/>
      </w:tcPr>
    </w:tblStylePr>
    <w:tblStylePr w:type="band1Vert">
      <w:tblPr/>
      <w:tcPr>
        <w:shd w:val="clear" w:fill="FFFFFF"/>
      </w:tcPr>
    </w:tblStylePr>
    <w:tblStylePr w:type="band1Horz">
      <w:tblPr/>
      <w:tcPr>
        <w:shd w:val="clear"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fill="FFFFFF"/>
    </w:tcPr>
    <w:tblStylePr w:type="firstRow">
      <w:rPr>
        <w:b/>
        <w:bCs/>
      </w:rPr>
      <w:tblPr/>
      <w:tcPr>
        <w:shd w:val="clear" w:fill="FFFFFF"/>
      </w:tcPr>
    </w:tblStylePr>
    <w:tblStylePr w:type="lastRow">
      <w:rPr>
        <w:b/>
        <w:bCs/>
        <w:color w:val="000000"/>
      </w:rPr>
      <w:tblPr/>
      <w:tcPr>
        <w:shd w:val="clear" w:fill="FFFFFF"/>
      </w:tcPr>
    </w:tblStylePr>
    <w:tblStylePr w:type="firstCol">
      <w:rPr>
        <w:color w:val="000000"/>
      </w:rPr>
      <w:tblPr/>
      <w:tcPr>
        <w:shd w:val="clear" w:fill="FFFFFF"/>
      </w:tcPr>
    </w:tblStylePr>
    <w:tblStylePr w:type="lastCol">
      <w:rPr>
        <w:color w:val="000000"/>
      </w:rPr>
      <w:tblPr/>
      <w:tcPr>
        <w:shd w:val="clear" w:fill="FFFFFF"/>
      </w:tcPr>
    </w:tblStylePr>
    <w:tblStylePr w:type="band1Vert">
      <w:tblPr/>
      <w:tcPr>
        <w:shd w:val="clear" w:fill="FFFFFF"/>
      </w:tcPr>
    </w:tblStylePr>
    <w:tblStylePr w:type="band1Horz">
      <w:tblPr/>
      <w:tcPr>
        <w:shd w:val="clear"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fill="FFFFFF"/>
    </w:tcPr>
    <w:tblStylePr w:type="firstRow">
      <w:rPr>
        <w:b/>
        <w:bCs/>
      </w:rPr>
      <w:tblPr/>
      <w:tcPr>
        <w:shd w:val="clear" w:fill="FFFFFF"/>
      </w:tcPr>
    </w:tblStylePr>
    <w:tblStylePr w:type="lastRow">
      <w:rPr>
        <w:b/>
        <w:bCs/>
        <w:color w:val="000000"/>
      </w:rPr>
      <w:tblPr/>
      <w:tcPr>
        <w:shd w:val="clear" w:fill="FFFFFF"/>
      </w:tcPr>
    </w:tblStylePr>
    <w:tblStylePr w:type="firstCol">
      <w:rPr>
        <w:color w:val="000000"/>
      </w:rPr>
      <w:tblPr/>
      <w:tcPr>
        <w:shd w:val="clear" w:fill="FFFFFF"/>
      </w:tcPr>
    </w:tblStylePr>
    <w:tblStylePr w:type="lastCol">
      <w:rPr>
        <w:color w:val="000000"/>
      </w:rPr>
      <w:tblPr/>
      <w:tcPr>
        <w:shd w:val="clear" w:fill="FFFFFF"/>
      </w:tcPr>
    </w:tblStylePr>
    <w:tblStylePr w:type="band1Vert">
      <w:tblPr/>
      <w:tcPr>
        <w:shd w:val="clear" w:fill="FFFFFF"/>
      </w:tcPr>
    </w:tblStylePr>
    <w:tblStylePr w:type="band1Horz">
      <w:tblPr/>
      <w:tcPr>
        <w:shd w:val="clear"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fill="FFFFFF"/>
    </w:tcPr>
    <w:tblStylePr w:type="firstRow">
      <w:rPr>
        <w:b/>
        <w:bCs/>
      </w:rPr>
      <w:tblPr/>
      <w:tcPr>
        <w:shd w:val="clear" w:fill="FFFFFF"/>
      </w:tcPr>
    </w:tblStylePr>
    <w:tblStylePr w:type="lastRow">
      <w:rPr>
        <w:b/>
        <w:bCs/>
        <w:color w:val="000000"/>
      </w:rPr>
      <w:tblPr/>
      <w:tcPr>
        <w:shd w:val="clear" w:fill="FFFFFF"/>
      </w:tcPr>
    </w:tblStylePr>
    <w:tblStylePr w:type="firstCol">
      <w:rPr>
        <w:color w:val="000000"/>
      </w:rPr>
      <w:tblPr/>
      <w:tcPr>
        <w:shd w:val="clear" w:fill="FFFFFF"/>
      </w:tcPr>
    </w:tblStylePr>
    <w:tblStylePr w:type="lastCol">
      <w:rPr>
        <w:color w:val="000000"/>
      </w:rPr>
      <w:tblPr/>
      <w:tcPr>
        <w:shd w:val="clear" w:fill="FFFFFF"/>
      </w:tcPr>
    </w:tblStylePr>
    <w:tblStylePr w:type="band1Vert">
      <w:tblPr/>
      <w:tcPr>
        <w:shd w:val="clear" w:fill="FFFFFF"/>
      </w:tcPr>
    </w:tblStylePr>
    <w:tblStylePr w:type="band1Horz">
      <w:tblPr/>
      <w:tcPr>
        <w:shd w:val="clear"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pruebas de seguridad de software</dc:title>
  <dc:subject>Evaluación del laboratorio de expedientes académicos</dc:subject>
  <dc:creator>Wilberth Guillen</dc:creator>
  <cp:keywords/>
  <dc:description/>
  <cp:lastModifiedBy>Wilberth Guillen</cp:lastModifiedBy>
  <cp:revision>1</cp:revision>
  <dcterms:created xsi:type="dcterms:W3CDTF">2013-12-23T23:15:00Z</dcterms:created>
  <dcterms:modified xsi:type="dcterms:W3CDTF">2013-12-23T23:15:00Z</dcterms:modified>
  <cp:category>Informe técnico</cp:category>
</cp:coreProperties>
</file>