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SSVEP 参数研发版产品需求文档</w:t>
      </w:r>
    </w:p>
    <w:p>
      <w:pPr>
        <w:pStyle w:val="Subtitle"/>
      </w:pPr>
      <w:r>
        <w:t>文档版本 1.1 · 目标软件版本 0.3.0 · 2026-10-02 · 状态：研发实施稿</w:t>
      </w:r>
    </w:p>
    <w:p>
      <w:r>
        <w:rPr>
          <w:b w:val="0"/>
        </w:rPr>
        <w:t>本文面向产品、研发与测试人员，定义第一套 SSVEP 实验设计软件的参数研发版本。核心目标是使“容易误决策”成为可观察、可复现、可验证的问题，并支持选择适合使用者、设备和显示条件的参数。本文以已发布的 0.2.4 为基础，新增能力均为待开发需求，不表示软件已经实现或达到所列性能目标。</w:t>
      </w:r>
    </w:p>
    <w:p>
      <w:r>
        <w:rPr>
          <w:b w:val="0"/>
        </w:rPr>
        <w:t>配套文档：</w:t>
      </w:r>
      <w:hyperlink r:id="rId11">
        <w:r>
          <w:rPr>
            <w:color w:val="176B66"/>
          </w:rPr>
          <w:t>架构设计</w:t>
        </w:r>
      </w:hyperlink>
      <w:r>
        <w:rPr>
          <w:b w:val="0"/>
        </w:rPr>
        <w:t>。交互流程见</w:t>
      </w:r>
      <w:hyperlink r:id="rId12">
        <w:r>
          <w:rPr>
            <w:color w:val="176B66"/>
          </w:rPr>
          <w:t>研发版原型</w:t>
        </w:r>
      </w:hyperlink>
      <w:r>
        <w:rPr>
          <w:b w:val="0"/>
        </w:rPr>
        <w:t>，其中得分、帧率与报告均为演示数据。</w:t>
      </w:r>
    </w:p>
    <w:p>
      <w:r>
        <w:rPr>
          <w:b w:val="0"/>
        </w:rPr>
        <w:t>本次修订增加按样本数调度、样本与主机时钟映射、呈现时钟约定、统一配置哈希、桥接心跳、二进制样本与 BrainVision 导出，以及启动失败回退。这些属于 0.3.0 的本版交付范围。</w:t>
      </w:r>
    </w:p>
    <w:p>
      <w:pPr>
        <w:pStyle w:val="Heading1"/>
      </w:pPr>
      <w:r>
        <w:t>1 背景与产品目标</w:t>
      </w:r>
    </w:p>
    <w:p>
      <w:r>
        <w:rPr>
          <w:b w:val="0"/>
        </w:rPr>
        <w:t>现有软件已能连接脑电设备、呈现六个刺激目标并显示识别选中框。用户实际使用时存在注视选错、选择不稳定等误决策反馈。现阶段缺少带目标标签和无意图区间的记录，不能仅凭历史得分或选中次数确定准确率，也不能承诺修改某个阈值后即可解决问题。</w:t>
      </w:r>
    </w:p>
    <w:p>
      <w:r>
        <w:rPr>
          <w:b w:val="0"/>
        </w:rPr>
        <w:t>本版完成三个任务：开放受控的阈值、刺激频率与软件滤波调节；补齐六目标得分、拒识原因和数据质量诊断；建立个人校准、回放比较与独立实测流程。最终产出包含适用条件和验证记录的参数方案，允许保留拒识，避免将每一个数据窗口强行分到某个目标。</w:t>
      </w:r>
    </w:p>
    <w:p>
      <w:pPr>
        <w:pStyle w:val="Heading2"/>
      </w:pPr>
      <w:r>
        <w:t>1.1 当前事实与版本差异</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3168"/>
        <w:gridCol w:w="5040"/>
      </w:tblGrid>
      <w:tr>
        <w:trPr>
          <w:cantSplit/>
          <w:tblHeader/>
        </w:trPr>
        <w:tc>
          <w:tcPr>
            <w:tcW w:type="dxa" w:w="1872"/>
            <w:vAlign w:val="center"/>
            <w:shd w:fill="173C51"/>
            <w:tcMar>
              <w:top w:w="95" w:type="dxa"/>
              <w:bottom w:w="95" w:type="dxa"/>
              <w:left w:w="115" w:type="dxa"/>
              <w:right w:w="115" w:type="dxa"/>
            </w:tcMar>
          </w:tcPr>
          <w:p>
            <w:pPr>
              <w:spacing w:after="0" w:line="264" w:lineRule="auto"/>
              <w:jc w:val="center"/>
            </w:pPr>
            <w:r>
              <w:rPr>
                <w:b/>
                <w:color w:val="FFFFFF"/>
                <w:sz w:val="19"/>
              </w:rPr>
              <w:t>能力</w:t>
            </w:r>
          </w:p>
        </w:tc>
        <w:tc>
          <w:tcPr>
            <w:tcW w:type="dxa" w:w="3168"/>
            <w:vAlign w:val="center"/>
            <w:shd w:fill="173C51"/>
            <w:tcMar>
              <w:top w:w="95" w:type="dxa"/>
              <w:bottom w:w="95" w:type="dxa"/>
              <w:left w:w="115" w:type="dxa"/>
              <w:right w:w="115" w:type="dxa"/>
            </w:tcMar>
          </w:tcPr>
          <w:p>
            <w:pPr>
              <w:spacing w:after="0" w:line="264" w:lineRule="auto"/>
            </w:pPr>
            <w:r>
              <w:rPr>
                <w:b/>
                <w:color w:val="FFFFFF"/>
                <w:sz w:val="19"/>
              </w:rPr>
              <w:t>0.2.4 当前状态</w:t>
            </w:r>
          </w:p>
        </w:tc>
        <w:tc>
          <w:tcPr>
            <w:tcW w:type="dxa" w:w="5040"/>
            <w:vAlign w:val="center"/>
            <w:shd w:fill="173C51"/>
            <w:tcMar>
              <w:top w:w="95" w:type="dxa"/>
              <w:bottom w:w="95" w:type="dxa"/>
              <w:left w:w="115" w:type="dxa"/>
              <w:right w:w="115" w:type="dxa"/>
            </w:tcMar>
          </w:tcPr>
          <w:p>
            <w:pPr>
              <w:spacing w:after="0" w:line="264" w:lineRule="auto"/>
            </w:pPr>
            <w:r>
              <w:rPr>
                <w:b/>
                <w:color w:val="FFFFFF"/>
                <w:sz w:val="19"/>
              </w:rPr>
              <w:t>0.3.0 需求</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内容与设备</w:t>
            </w:r>
          </w:p>
        </w:tc>
        <w:tc>
          <w:tcPr>
            <w:tcW w:type="dxa" w:w="3168"/>
            <w:vAlign w:val="center"/>
            <w:shd w:fill="FFFFFF"/>
            <w:tcMar>
              <w:top w:w="95" w:type="dxa"/>
              <w:bottom w:w="95" w:type="dxa"/>
              <w:left w:w="115" w:type="dxa"/>
              <w:right w:w="115" w:type="dxa"/>
            </w:tcMar>
          </w:tcPr>
          <w:p>
            <w:pPr>
              <w:spacing w:after="0" w:line="264" w:lineRule="auto"/>
            </w:pPr>
            <w:r>
              <w:rPr>
                <w:b w:val="0"/>
                <w:sz w:val="19"/>
              </w:rPr>
              <w:t>六目标内容编辑、SDK 与模拟源、头图选通道、手动映射保存、阻抗参考</w:t>
            </w:r>
          </w:p>
        </w:tc>
        <w:tc>
          <w:tcPr>
            <w:tcW w:type="dxa" w:w="5040"/>
            <w:vAlign w:val="center"/>
            <w:shd w:fill="FFFFFF"/>
            <w:tcMar>
              <w:top w:w="95" w:type="dxa"/>
              <w:bottom w:w="95" w:type="dxa"/>
              <w:left w:w="115" w:type="dxa"/>
              <w:right w:w="115" w:type="dxa"/>
            </w:tcMar>
          </w:tcPr>
          <w:p>
            <w:pPr>
              <w:spacing w:after="0" w:line="264" w:lineRule="auto"/>
            </w:pPr>
            <w:r>
              <w:rPr>
                <w:b w:val="0"/>
                <w:sz w:val="19"/>
              </w:rPr>
              <w:t>保留并接入统一运行配置</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判决</w:t>
            </w:r>
          </w:p>
        </w:tc>
        <w:tc>
          <w:tcPr>
            <w:tcW w:type="dxa" w:w="3168"/>
            <w:vAlign w:val="center"/>
            <w:shd w:fill="F2F6F8"/>
            <w:tcMar>
              <w:top w:w="95" w:type="dxa"/>
              <w:bottom w:w="95" w:type="dxa"/>
              <w:left w:w="115" w:type="dxa"/>
              <w:right w:w="115" w:type="dxa"/>
            </w:tcMar>
          </w:tcPr>
          <w:p>
            <w:pPr>
              <w:spacing w:after="0" w:line="264" w:lineRule="auto"/>
            </w:pPr>
            <w:r>
              <w:rPr>
                <w:b w:val="0"/>
                <w:sz w:val="19"/>
              </w:rPr>
              <w:t>固定原始得分门槛 0.1、绝对分差 0.02</w:t>
            </w:r>
          </w:p>
        </w:tc>
        <w:tc>
          <w:tcPr>
            <w:tcW w:type="dxa" w:w="5040"/>
            <w:vAlign w:val="center"/>
            <w:shd w:fill="F2F6F8"/>
            <w:tcMar>
              <w:top w:w="95" w:type="dxa"/>
              <w:bottom w:w="95" w:type="dxa"/>
              <w:left w:w="115" w:type="dxa"/>
              <w:right w:w="115" w:type="dxa"/>
            </w:tcMar>
          </w:tcPr>
          <w:p>
            <w:pPr>
              <w:spacing w:after="0" w:line="264" w:lineRule="auto"/>
            </w:pPr>
            <w:r>
              <w:rPr>
                <w:b w:val="0"/>
                <w:sz w:val="19"/>
              </w:rPr>
              <w:t>参数化判决、归一化评分、解释拒识原因</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刺激与滤波</w:t>
            </w:r>
          </w:p>
        </w:tc>
        <w:tc>
          <w:tcPr>
            <w:tcW w:type="dxa" w:w="3168"/>
            <w:vAlign w:val="center"/>
            <w:shd w:fill="FFFFFF"/>
            <w:tcMar>
              <w:top w:w="95" w:type="dxa"/>
              <w:bottom w:w="95" w:type="dxa"/>
              <w:left w:w="115" w:type="dxa"/>
              <w:right w:w="115" w:type="dxa"/>
            </w:tcMar>
          </w:tcPr>
          <w:p>
            <w:pPr>
              <w:spacing w:after="0" w:line="264" w:lineRule="auto"/>
            </w:pPr>
            <w:r>
              <w:rPr>
                <w:b w:val="0"/>
                <w:sz w:val="19"/>
              </w:rPr>
              <w:t>固定六频率、三谐波、窗口 FIR</w:t>
            </w:r>
          </w:p>
        </w:tc>
        <w:tc>
          <w:tcPr>
            <w:tcW w:type="dxa" w:w="5040"/>
            <w:vAlign w:val="center"/>
            <w:shd w:fill="FFFFFF"/>
            <w:tcMar>
              <w:top w:w="95" w:type="dxa"/>
              <w:bottom w:w="95" w:type="dxa"/>
              <w:left w:w="115" w:type="dxa"/>
              <w:right w:w="115" w:type="dxa"/>
            </w:tcMar>
          </w:tcPr>
          <w:p>
            <w:pPr>
              <w:spacing w:after="0" w:line="264" w:lineRule="auto"/>
            </w:pPr>
            <w:r>
              <w:rPr>
                <w:b w:val="0"/>
                <w:sz w:val="19"/>
              </w:rPr>
              <w:t>研发模式编辑频率与处理链，保留原版对照</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运行与记录</w:t>
            </w:r>
          </w:p>
        </w:tc>
        <w:tc>
          <w:tcPr>
            <w:tcW w:type="dxa" w:w="3168"/>
            <w:vAlign w:val="center"/>
            <w:shd w:fill="F2F6F8"/>
            <w:tcMar>
              <w:top w:w="95" w:type="dxa"/>
              <w:bottom w:w="95" w:type="dxa"/>
              <w:left w:w="115" w:type="dxa"/>
              <w:right w:w="115" w:type="dxa"/>
            </w:tcMar>
          </w:tcPr>
          <w:p>
            <w:pPr>
              <w:spacing w:after="0" w:line="264" w:lineRule="auto"/>
            </w:pPr>
            <w:r>
              <w:rPr>
                <w:b w:val="0"/>
                <w:sz w:val="19"/>
              </w:rPr>
              <w:t>单次选中框、丢样计数、绘制 FPS、NDJSON 样本记录</w:t>
            </w:r>
          </w:p>
        </w:tc>
        <w:tc>
          <w:tcPr>
            <w:tcW w:type="dxa" w:w="5040"/>
            <w:vAlign w:val="center"/>
            <w:shd w:fill="F2F6F8"/>
            <w:tcMar>
              <w:top w:w="95" w:type="dxa"/>
              <w:bottom w:w="95" w:type="dxa"/>
              <w:left w:w="115" w:type="dxa"/>
              <w:right w:w="115" w:type="dxa"/>
            </w:tcMar>
          </w:tcPr>
          <w:p>
            <w:pPr>
              <w:spacing w:after="0" w:line="264" w:lineRule="auto"/>
            </w:pPr>
            <w:r>
              <w:rPr>
                <w:b w:val="0"/>
                <w:sz w:val="19"/>
              </w:rPr>
              <w:t>样本数调度、时钟映射、二进制样本、标签与评估信息</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校准与比较</w:t>
            </w:r>
          </w:p>
        </w:tc>
        <w:tc>
          <w:tcPr>
            <w:tcW w:type="dxa" w:w="3168"/>
            <w:vAlign w:val="center"/>
            <w:shd w:fill="FFFFFF"/>
            <w:tcMar>
              <w:top w:w="95" w:type="dxa"/>
              <w:bottom w:w="95" w:type="dxa"/>
              <w:left w:w="115" w:type="dxa"/>
              <w:right w:w="115" w:type="dxa"/>
            </w:tcMar>
          </w:tcPr>
          <w:p>
            <w:pPr>
              <w:spacing w:after="0" w:line="264" w:lineRule="auto"/>
            </w:pPr>
            <w:r>
              <w:rPr>
                <w:b w:val="0"/>
                <w:sz w:val="19"/>
              </w:rPr>
              <w:t>尚未实现本文所述研发流程</w:t>
            </w:r>
          </w:p>
        </w:tc>
        <w:tc>
          <w:tcPr>
            <w:tcW w:type="dxa" w:w="5040"/>
            <w:vAlign w:val="center"/>
            <w:shd w:fill="FFFFFF"/>
            <w:tcMar>
              <w:top w:w="95" w:type="dxa"/>
              <w:bottom w:w="95" w:type="dxa"/>
              <w:left w:w="115" w:type="dxa"/>
              <w:right w:w="115" w:type="dxa"/>
            </w:tcMar>
          </w:tcPr>
          <w:p>
            <w:pPr>
              <w:spacing w:after="0" w:line="264" w:lineRule="auto"/>
            </w:pPr>
            <w:r>
              <w:rPr>
                <w:b w:val="0"/>
                <w:sz w:val="19"/>
              </w:rPr>
              <w:t>带提示采集、无意图采集、回放比较、独立验证</w:t>
            </w:r>
          </w:p>
        </w:tc>
      </w:tr>
    </w:tbl>
    <w:p>
      <w:pPr>
        <w:spacing w:after="40"/>
      </w:pPr>
    </w:p>
    <w:p>
      <w:pPr>
        <w:pStyle w:val="Heading2"/>
      </w:pPr>
      <w:r>
        <w:t>1.2 产品边界</w:t>
      </w:r>
    </w:p>
    <w:p>
      <w:r>
        <w:rPr>
          <w:b w:val="0"/>
        </w:rPr>
        <w:t>招标需求包含 SSVEP 控制软件、脑控外设及二次开发案例。按照用户确认，产品分为两套：第一套为当前实验设计软件，第二套为后续脑控小车软件。本 PRD 只定义第一套的研发版本；脑控小车、机械手和插件宿主另立版本。架构保留算法及采集复用边界，但本版不增加外设命令、文本输入或对外选择事件。</w:t>
      </w:r>
    </w:p>
    <w:p>
      <w:pPr>
        <w:pStyle w:val="Heading1"/>
      </w:pPr>
      <w:r>
        <w:t>2 已确认的约束</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7920"/>
      </w:tblGrid>
      <w:tr>
        <w:trPr>
          <w:cantSplit/>
          <w:tblHeader/>
        </w:trPr>
        <w:tc>
          <w:tcPr>
            <w:tcW w:type="dxa" w:w="2160"/>
            <w:vAlign w:val="center"/>
            <w:shd w:fill="173C51"/>
            <w:tcMar>
              <w:top w:w="95" w:type="dxa"/>
              <w:bottom w:w="95" w:type="dxa"/>
              <w:left w:w="115" w:type="dxa"/>
              <w:right w:w="115" w:type="dxa"/>
            </w:tcMar>
          </w:tcPr>
          <w:p>
            <w:pPr>
              <w:spacing w:after="0" w:line="264" w:lineRule="auto"/>
            </w:pPr>
            <w:r>
              <w:rPr>
                <w:b/>
                <w:color w:val="FFFFFF"/>
                <w:sz w:val="20"/>
              </w:rPr>
              <w:t>项目</w:t>
            </w:r>
          </w:p>
        </w:tc>
        <w:tc>
          <w:tcPr>
            <w:tcW w:type="dxa" w:w="7920"/>
            <w:vAlign w:val="center"/>
            <w:shd w:fill="173C51"/>
            <w:tcMar>
              <w:top w:w="95" w:type="dxa"/>
              <w:bottom w:w="95" w:type="dxa"/>
              <w:left w:w="115" w:type="dxa"/>
              <w:right w:w="115" w:type="dxa"/>
            </w:tcMar>
          </w:tcPr>
          <w:p>
            <w:pPr>
              <w:spacing w:after="0" w:line="264" w:lineRule="auto"/>
            </w:pPr>
            <w:r>
              <w:rPr>
                <w:b/>
                <w:color w:val="FFFFFF"/>
                <w:sz w:val="20"/>
              </w:rPr>
              <w:t>本版规则</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目标数量与内容</w:t>
            </w:r>
          </w:p>
        </w:tc>
        <w:tc>
          <w:tcPr>
            <w:tcW w:type="dxa" w:w="7920"/>
            <w:vAlign w:val="center"/>
            <w:shd w:fill="FFFFFF"/>
            <w:tcMar>
              <w:top w:w="95" w:type="dxa"/>
              <w:bottom w:w="95" w:type="dxa"/>
              <w:left w:w="115" w:type="dxa"/>
              <w:right w:w="115" w:type="dxa"/>
            </w:tcMar>
          </w:tcPr>
          <w:p>
            <w:pPr>
              <w:spacing w:after="0" w:line="264" w:lineRule="auto"/>
            </w:pPr>
            <w:r>
              <w:rPr>
                <w:b w:val="0"/>
                <w:sz w:val="20"/>
              </w:rPr>
              <w:t>固定六目标，满足不少于六个的需求；各目标可设置文字、图形或图片，目标 ID 与位置稳定</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受限参数</w:t>
            </w:r>
          </w:p>
        </w:tc>
        <w:tc>
          <w:tcPr>
            <w:tcW w:type="dxa" w:w="7920"/>
            <w:vAlign w:val="center"/>
            <w:shd w:fill="F2F6F8"/>
            <w:tcMar>
              <w:top w:w="95" w:type="dxa"/>
              <w:bottom w:w="95" w:type="dxa"/>
              <w:left w:w="115" w:type="dxa"/>
              <w:right w:w="115" w:type="dxa"/>
            </w:tcMar>
          </w:tcPr>
          <w:p>
            <w:pPr>
              <w:spacing w:after="0" w:line="264" w:lineRule="auto"/>
            </w:pPr>
            <w:r>
              <w:rPr>
                <w:b w:val="0"/>
                <w:sz w:val="20"/>
              </w:rPr>
              <w:t>不开放刺激编码、刺激相位、目标数量、采样率、窗口时长；界面与参数导入均不得修改</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可调参数</w:t>
            </w:r>
          </w:p>
        </w:tc>
        <w:tc>
          <w:tcPr>
            <w:tcW w:type="dxa" w:w="7920"/>
            <w:vAlign w:val="center"/>
            <w:shd w:fill="FFFFFF"/>
            <w:tcMar>
              <w:top w:w="95" w:type="dxa"/>
              <w:bottom w:w="95" w:type="dxa"/>
              <w:left w:w="115" w:type="dxa"/>
              <w:right w:w="115" w:type="dxa"/>
            </w:tcMar>
          </w:tcPr>
          <w:p>
            <w:pPr>
              <w:spacing w:after="0" w:line="264" w:lineRule="auto"/>
            </w:pPr>
            <w:r>
              <w:rPr>
                <w:b w:val="0"/>
                <w:sz w:val="20"/>
              </w:rPr>
              <w:t>研发模式开放决策阈值、六个刺激频率、软件滤波、参考谐波和子带权重</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单次决策</w:t>
            </w:r>
          </w:p>
        </w:tc>
        <w:tc>
          <w:tcPr>
            <w:tcW w:type="dxa" w:w="7920"/>
            <w:vAlign w:val="center"/>
            <w:shd w:fill="F2F6F8"/>
            <w:tcMar>
              <w:top w:w="95" w:type="dxa"/>
              <w:bottom w:w="95" w:type="dxa"/>
              <w:left w:w="115" w:type="dxa"/>
              <w:right w:w="115" w:type="dxa"/>
            </w:tcMar>
          </w:tcPr>
          <w:p>
            <w:pPr>
              <w:spacing w:after="0" w:line="264" w:lineRule="auto"/>
            </w:pPr>
            <w:r>
              <w:rPr>
                <w:b w:val="0"/>
                <w:sz w:val="20"/>
              </w:rPr>
              <w:t>一次合格结果即可显示选中框；无连续三次确认、无外设命令去重模块</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结果表现</w:t>
            </w:r>
          </w:p>
        </w:tc>
        <w:tc>
          <w:tcPr>
            <w:tcW w:type="dxa" w:w="7920"/>
            <w:vAlign w:val="center"/>
            <w:shd w:fill="FFFFFF"/>
            <w:tcMar>
              <w:top w:w="95" w:type="dxa"/>
              <w:bottom w:w="95" w:type="dxa"/>
              <w:left w:w="115" w:type="dxa"/>
              <w:right w:w="115" w:type="dxa"/>
            </w:tcMar>
          </w:tcPr>
          <w:p>
            <w:pPr>
              <w:spacing w:after="0" w:line="264" w:lineRule="auto"/>
            </w:pPr>
            <w:r>
              <w:rPr>
                <w:b w:val="0"/>
                <w:sz w:val="20"/>
              </w:rPr>
              <w:t>刺激区只显示一个选中框或无框；诊断区可显示内部得分和原因，不累计输出文字</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电极阻抗</w:t>
            </w:r>
          </w:p>
        </w:tc>
        <w:tc>
          <w:tcPr>
            <w:tcW w:type="dxa" w:w="7920"/>
            <w:vAlign w:val="center"/>
            <w:shd w:fill="F2F6F8"/>
            <w:tcMar>
              <w:top w:w="95" w:type="dxa"/>
              <w:bottom w:w="95" w:type="dxa"/>
              <w:left w:w="115" w:type="dxa"/>
              <w:right w:w="115" w:type="dxa"/>
            </w:tcMar>
          </w:tcPr>
          <w:p>
            <w:pPr>
              <w:spacing w:after="0" w:line="264" w:lineRule="auto"/>
            </w:pPr>
            <w:r>
              <w:rPr>
                <w:b w:val="0"/>
                <w:sz w:val="20"/>
              </w:rPr>
              <w:t>仅供参考与记录；高、未知、缺失、过期阻抗均不阻止开始或恢复</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丢样</w:t>
            </w:r>
          </w:p>
        </w:tc>
        <w:tc>
          <w:tcPr>
            <w:tcW w:type="dxa" w:w="7920"/>
            <w:vAlign w:val="center"/>
            <w:shd w:fill="FFFFFF"/>
            <w:tcMar>
              <w:top w:w="95" w:type="dxa"/>
              <w:bottom w:w="95" w:type="dxa"/>
              <w:left w:w="115" w:type="dxa"/>
              <w:right w:w="115" w:type="dxa"/>
            </w:tcMar>
          </w:tcPr>
          <w:p>
            <w:pPr>
              <w:spacing w:after="0" w:line="264" w:lineRule="auto"/>
            </w:pPr>
            <w:r>
              <w:rPr>
                <w:b w:val="0"/>
                <w:sz w:val="20"/>
              </w:rPr>
              <w:t>告警显示计数；失效窗口清除并重新积累，不能因为 LOST SAMPLE 告警直接终止或断开</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通道</w:t>
            </w:r>
          </w:p>
        </w:tc>
        <w:tc>
          <w:tcPr>
            <w:tcW w:type="dxa" w:w="7920"/>
            <w:vAlign w:val="center"/>
            <w:shd w:fill="F2F6F8"/>
            <w:tcMar>
              <w:top w:w="95" w:type="dxa"/>
              <w:bottom w:w="95" w:type="dxa"/>
              <w:left w:w="115" w:type="dxa"/>
              <w:right w:w="115" w:type="dxa"/>
            </w:tcMar>
          </w:tcPr>
          <w:p>
            <w:pPr>
              <w:spacing w:after="0" w:line="264" w:lineRule="auto"/>
            </w:pPr>
            <w:r>
              <w:rPr>
                <w:b w:val="0"/>
                <w:sz w:val="20"/>
              </w:rPr>
              <w:t>沿用当前实现，选定八个有效采集通道；设备通道数较多时可选择其中八个</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运行规格</w:t>
            </w:r>
          </w:p>
        </w:tc>
        <w:tc>
          <w:tcPr>
            <w:tcW w:type="dxa" w:w="7920"/>
            <w:vAlign w:val="center"/>
            <w:shd w:fill="FFFFFF"/>
            <w:tcMar>
              <w:top w:w="95" w:type="dxa"/>
              <w:bottom w:w="95" w:type="dxa"/>
              <w:left w:w="115" w:type="dxa"/>
              <w:right w:w="115" w:type="dxa"/>
            </w:tcMar>
          </w:tcPr>
          <w:p>
            <w:pPr>
              <w:spacing w:after="0" w:line="264" w:lineRule="auto"/>
            </w:pPr>
            <w:r>
              <w:rPr>
                <w:b w:val="0"/>
                <w:sz w:val="20"/>
              </w:rPr>
              <w:t>内部窗口 2.5 秒；设备实际采样率支持 250 或 500 Hz，由元数据获取</w:t>
            </w:r>
          </w:p>
        </w:tc>
      </w:tr>
    </w:tbl>
    <w:p>
      <w:pPr>
        <w:spacing w:after="40"/>
      </w:pPr>
    </w:p>
    <w:p>
      <w:r>
        <w:rPr>
          <w:b w:val="0"/>
        </w:rPr>
        <w:t>研发模式的开放范围是本次参数优化需求带来的增量。普通实验入口继续隐藏研发编辑项，避免把研发界面当作常规实验配置。</w:t>
      </w:r>
    </w:p>
    <w:p>
      <w:pPr>
        <w:pStyle w:val="Heading1"/>
      </w:pPr>
      <w:r>
        <w:t>3 使用角色与主要流程</w:t>
      </w:r>
    </w:p>
    <w:p>
      <w:r>
        <w:rPr>
          <w:b w:val="0"/>
        </w:rPr>
        <w:t>研发人员负责建立参数候选、观察识别过程、选择处理链并组织验证；实验操作者负责内容、设备、通道映射、校准提示和记录；受试者按照提示注视目标或保持无意图状态。上述是使用职责，不新增账号、权限服务或云端系统。</w:t>
      </w:r>
    </w:p>
    <w:p>
      <w:pPr>
        <w:keepNext/>
      </w:pPr>
      <w:r>
        <w:rPr>
          <w:b w:val="0"/>
        </w:rPr>
        <w:t>典型操作顺序如下：</w:t>
      </w:r>
    </w:p>
    <w:p>
      <w:pPr>
        <w:pStyle w:val="ListNumber"/>
      </w:pPr>
      <w:r>
        <w:rPr>
          <w:b w:val="0"/>
        </w:rPr>
        <w:t>连接设备，查看阻抗，手动设置通道与电极位置对应关系，选定八个识别通道。</w:t>
      </w:r>
    </w:p>
    <w:p>
      <w:pPr>
        <w:pStyle w:val="ListNumber"/>
      </w:pPr>
      <w:r>
        <w:rPr>
          <w:b w:val="0"/>
        </w:rPr>
        <w:t>配置六目标文字、图形或图片，选择原版基线并另建研发候选。</w:t>
      </w:r>
    </w:p>
    <w:p>
      <w:pPr>
        <w:pStyle w:val="ListNumber"/>
      </w:pPr>
      <w:r>
        <w:rPr>
          <w:b w:val="0"/>
        </w:rPr>
        <w:t>调整参数，查看校验结果，保存修订并设为下次实验方案。</w:t>
      </w:r>
    </w:p>
    <w:p>
      <w:pPr>
        <w:pStyle w:val="ListNumber"/>
      </w:pPr>
      <w:r>
        <w:rPr>
          <w:b w:val="0"/>
        </w:rPr>
        <w:t>开始在线试用或带标签的个人校准，观察选中框、得分和拒识原因。</w:t>
      </w:r>
    </w:p>
    <w:p>
      <w:pPr>
        <w:pStyle w:val="ListNumber"/>
      </w:pPr>
      <w:r>
        <w:rPr>
          <w:b w:val="0"/>
        </w:rPr>
        <w:t>在同一采集数据上比较可离线评估的候选，选出待验证方案。</w:t>
      </w:r>
    </w:p>
    <w:p>
      <w:pPr>
        <w:pStyle w:val="ListNumber"/>
      </w:pPr>
      <w:r>
        <w:rPr>
          <w:b w:val="0"/>
        </w:rPr>
        <w:t>使用新采数据独立验证；符合目标后由操作者设为默认，并保留适用条件。</w:t>
      </w:r>
    </w:p>
    <w:p>
      <w:r>
        <w:rPr>
          <w:b w:val="0"/>
        </w:rPr>
        <w:t>改变刺激频率、屏幕、刺激面积、电极佩戴或硬件滤波后需要重新采集对照数据。软件不能用旧频率的 EEG 证明新刺激频率的效果。</w:t>
      </w:r>
    </w:p>
    <w:p>
      <w:pPr>
        <w:pStyle w:val="Heading1"/>
      </w:pPr>
      <w:r>
        <w:t>4 页面与交互</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3168"/>
        <w:gridCol w:w="5040"/>
      </w:tblGrid>
      <w:tr>
        <w:trPr>
          <w:cantSplit/>
          <w:tblHeader/>
        </w:trPr>
        <w:tc>
          <w:tcPr>
            <w:tcW w:type="dxa" w:w="1872"/>
            <w:vAlign w:val="center"/>
            <w:shd w:fill="173C51"/>
            <w:tcMar>
              <w:top w:w="95" w:type="dxa"/>
              <w:bottom w:w="95" w:type="dxa"/>
              <w:left w:w="115" w:type="dxa"/>
              <w:right w:w="115" w:type="dxa"/>
            </w:tcMar>
          </w:tcPr>
          <w:p>
            <w:pPr>
              <w:spacing w:after="0" w:line="264" w:lineRule="auto"/>
              <w:jc w:val="center"/>
            </w:pPr>
            <w:r>
              <w:rPr>
                <w:b/>
                <w:color w:val="FFFFFF"/>
                <w:sz w:val="19"/>
              </w:rPr>
              <w:t>页面</w:t>
            </w:r>
          </w:p>
        </w:tc>
        <w:tc>
          <w:tcPr>
            <w:tcW w:type="dxa" w:w="3168"/>
            <w:vAlign w:val="center"/>
            <w:shd w:fill="173C51"/>
            <w:tcMar>
              <w:top w:w="95" w:type="dxa"/>
              <w:bottom w:w="95" w:type="dxa"/>
              <w:left w:w="115" w:type="dxa"/>
              <w:right w:w="115" w:type="dxa"/>
            </w:tcMar>
          </w:tcPr>
          <w:p>
            <w:pPr>
              <w:spacing w:after="0" w:line="264" w:lineRule="auto"/>
            </w:pPr>
            <w:r>
              <w:rPr>
                <w:b/>
                <w:color w:val="FFFFFF"/>
                <w:sz w:val="19"/>
              </w:rPr>
              <w:t>用户看到的内容</w:t>
            </w:r>
          </w:p>
        </w:tc>
        <w:tc>
          <w:tcPr>
            <w:tcW w:type="dxa" w:w="5040"/>
            <w:vAlign w:val="center"/>
            <w:shd w:fill="173C51"/>
            <w:tcMar>
              <w:top w:w="95" w:type="dxa"/>
              <w:bottom w:w="95" w:type="dxa"/>
              <w:left w:w="115" w:type="dxa"/>
              <w:right w:w="115" w:type="dxa"/>
            </w:tcMar>
          </w:tcPr>
          <w:p>
            <w:pPr>
              <w:spacing w:after="0" w:line="264" w:lineRule="auto"/>
            </w:pPr>
            <w:r>
              <w:rPr>
                <w:b/>
                <w:color w:val="FFFFFF"/>
                <w:sz w:val="19"/>
              </w:rPr>
              <w:t>关键操作</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刺激内容</w:t>
            </w:r>
          </w:p>
        </w:tc>
        <w:tc>
          <w:tcPr>
            <w:tcW w:type="dxa" w:w="3168"/>
            <w:vAlign w:val="center"/>
            <w:shd w:fill="FFFFFF"/>
            <w:tcMar>
              <w:top w:w="95" w:type="dxa"/>
              <w:bottom w:w="95" w:type="dxa"/>
              <w:left w:w="115" w:type="dxa"/>
              <w:right w:w="115" w:type="dxa"/>
            </w:tcMar>
          </w:tcPr>
          <w:p>
            <w:pPr>
              <w:spacing w:after="0" w:line="264" w:lineRule="auto"/>
            </w:pPr>
            <w:r>
              <w:rPr>
                <w:b w:val="0"/>
                <w:sz w:val="19"/>
              </w:rPr>
              <w:t>六个固定目标、内容编辑器、静态预览</w:t>
            </w:r>
          </w:p>
        </w:tc>
        <w:tc>
          <w:tcPr>
            <w:tcW w:type="dxa" w:w="5040"/>
            <w:vAlign w:val="center"/>
            <w:shd w:fill="FFFFFF"/>
            <w:tcMar>
              <w:top w:w="95" w:type="dxa"/>
              <w:bottom w:w="95" w:type="dxa"/>
              <w:left w:w="115" w:type="dxa"/>
              <w:right w:w="115" w:type="dxa"/>
            </w:tcMar>
          </w:tcPr>
          <w:p>
            <w:pPr>
              <w:spacing w:after="0" w:line="264" w:lineRule="auto"/>
            </w:pPr>
            <w:r>
              <w:rPr>
                <w:b w:val="0"/>
                <w:sz w:val="19"/>
              </w:rPr>
              <w:t>载入、保存内容方案，修改文字、图形、图片</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设备与阻抗</w:t>
            </w:r>
          </w:p>
        </w:tc>
        <w:tc>
          <w:tcPr>
            <w:tcW w:type="dxa" w:w="3168"/>
            <w:vAlign w:val="center"/>
            <w:shd w:fill="F2F6F8"/>
            <w:tcMar>
              <w:top w:w="95" w:type="dxa"/>
              <w:bottom w:w="95" w:type="dxa"/>
              <w:left w:w="115" w:type="dxa"/>
              <w:right w:w="115" w:type="dxa"/>
            </w:tcMar>
          </w:tcPr>
          <w:p>
            <w:pPr>
              <w:spacing w:after="0" w:line="264" w:lineRule="auto"/>
            </w:pPr>
            <w:r>
              <w:rPr>
                <w:b w:val="0"/>
                <w:sz w:val="19"/>
              </w:rPr>
              <w:t>设备状态、通道编号、电极位置图、阻抗状态、丢样计数</w:t>
            </w:r>
          </w:p>
        </w:tc>
        <w:tc>
          <w:tcPr>
            <w:tcW w:type="dxa" w:w="5040"/>
            <w:vAlign w:val="center"/>
            <w:shd w:fill="F2F6F8"/>
            <w:tcMar>
              <w:top w:w="95" w:type="dxa"/>
              <w:bottom w:w="95" w:type="dxa"/>
              <w:left w:w="115" w:type="dxa"/>
              <w:right w:w="115" w:type="dxa"/>
            </w:tcMar>
          </w:tcPr>
          <w:p>
            <w:pPr>
              <w:spacing w:after="0" w:line="264" w:lineRule="auto"/>
            </w:pPr>
            <w:r>
              <w:rPr>
                <w:b w:val="0"/>
                <w:sz w:val="19"/>
              </w:rPr>
              <w:t>连接、断开、手动映射、选择八通道、保存映射</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参数方案</w:t>
            </w:r>
          </w:p>
        </w:tc>
        <w:tc>
          <w:tcPr>
            <w:tcW w:type="dxa" w:w="3168"/>
            <w:vAlign w:val="center"/>
            <w:shd w:fill="FFFFFF"/>
            <w:tcMar>
              <w:top w:w="95" w:type="dxa"/>
              <w:bottom w:w="95" w:type="dxa"/>
              <w:left w:w="115" w:type="dxa"/>
              <w:right w:w="115" w:type="dxa"/>
            </w:tcMar>
          </w:tcPr>
          <w:p>
            <w:pPr>
              <w:spacing w:after="0" w:line="264" w:lineRule="auto"/>
            </w:pPr>
            <w:r>
              <w:rPr>
                <w:b w:val="0"/>
                <w:sz w:val="19"/>
              </w:rPr>
              <w:t>方案版本与验证状态；阈值、频率、滤波页签</w:t>
            </w:r>
          </w:p>
        </w:tc>
        <w:tc>
          <w:tcPr>
            <w:tcW w:type="dxa" w:w="5040"/>
            <w:vAlign w:val="center"/>
            <w:shd w:fill="FFFFFF"/>
            <w:tcMar>
              <w:top w:w="95" w:type="dxa"/>
              <w:bottom w:w="95" w:type="dxa"/>
              <w:left w:w="115" w:type="dxa"/>
              <w:right w:w="115" w:type="dxa"/>
            </w:tcMar>
          </w:tcPr>
          <w:p>
            <w:pPr>
              <w:spacing w:after="0" w:line="264" w:lineRule="auto"/>
            </w:pPr>
            <w:r>
              <w:rPr>
                <w:b w:val="0"/>
                <w:sz w:val="19"/>
              </w:rPr>
              <w:t>复制基线、保存修订、导入导出、设为下次方案</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实验运行</w:t>
            </w:r>
          </w:p>
        </w:tc>
        <w:tc>
          <w:tcPr>
            <w:tcW w:type="dxa" w:w="3168"/>
            <w:vAlign w:val="center"/>
            <w:shd w:fill="F2F6F8"/>
            <w:tcMar>
              <w:top w:w="95" w:type="dxa"/>
              <w:bottom w:w="95" w:type="dxa"/>
              <w:left w:w="115" w:type="dxa"/>
              <w:right w:w="115" w:type="dxa"/>
            </w:tcMar>
          </w:tcPr>
          <w:p>
            <w:pPr>
              <w:spacing w:after="0" w:line="264" w:lineRule="auto"/>
            </w:pPr>
            <w:r>
              <w:rPr>
                <w:b w:val="0"/>
                <w:sz w:val="19"/>
              </w:rPr>
              <w:t>六目标刺激、选中框、绘制 FPS、可折叠在线诊断</w:t>
            </w:r>
          </w:p>
        </w:tc>
        <w:tc>
          <w:tcPr>
            <w:tcW w:type="dxa" w:w="5040"/>
            <w:vAlign w:val="center"/>
            <w:shd w:fill="F2F6F8"/>
            <w:tcMar>
              <w:top w:w="95" w:type="dxa"/>
              <w:bottom w:w="95" w:type="dxa"/>
              <w:left w:w="115" w:type="dxa"/>
              <w:right w:w="115" w:type="dxa"/>
            </w:tcMar>
          </w:tcPr>
          <w:p>
            <w:pPr>
              <w:spacing w:after="0" w:line="264" w:lineRule="auto"/>
            </w:pPr>
            <w:r>
              <w:rPr>
                <w:b w:val="0"/>
                <w:sz w:val="19"/>
              </w:rPr>
              <w:t>开始、暂停、恢复、结束，查看拒识原因</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个人校准</w:t>
            </w:r>
          </w:p>
        </w:tc>
        <w:tc>
          <w:tcPr>
            <w:tcW w:type="dxa" w:w="3168"/>
            <w:vAlign w:val="center"/>
            <w:shd w:fill="FFFFFF"/>
            <w:tcMar>
              <w:top w:w="95" w:type="dxa"/>
              <w:bottom w:w="95" w:type="dxa"/>
              <w:left w:w="115" w:type="dxa"/>
              <w:right w:w="115" w:type="dxa"/>
            </w:tcMar>
          </w:tcPr>
          <w:p>
            <w:pPr>
              <w:spacing w:after="0" w:line="264" w:lineRule="auto"/>
            </w:pPr>
            <w:r>
              <w:rPr>
                <w:b w:val="0"/>
                <w:sz w:val="19"/>
              </w:rPr>
              <w:t>当前目标提示、试次与进度、无意图提示、休息状态</w:t>
            </w:r>
          </w:p>
        </w:tc>
        <w:tc>
          <w:tcPr>
            <w:tcW w:type="dxa" w:w="5040"/>
            <w:vAlign w:val="center"/>
            <w:shd w:fill="FFFFFF"/>
            <w:tcMar>
              <w:top w:w="95" w:type="dxa"/>
              <w:bottom w:w="95" w:type="dxa"/>
              <w:left w:w="115" w:type="dxa"/>
              <w:right w:w="115" w:type="dxa"/>
            </w:tcMar>
          </w:tcPr>
          <w:p>
            <w:pPr>
              <w:spacing w:after="0" w:line="264" w:lineRule="auto"/>
            </w:pPr>
            <w:r>
              <w:rPr>
                <w:b w:val="0"/>
                <w:sz w:val="19"/>
              </w:rPr>
              <w:t>开始、休息、标记试次、补采、生成候选</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回放对比</w:t>
            </w:r>
          </w:p>
        </w:tc>
        <w:tc>
          <w:tcPr>
            <w:tcW w:type="dxa" w:w="3168"/>
            <w:vAlign w:val="center"/>
            <w:shd w:fill="F2F6F8"/>
            <w:tcMar>
              <w:top w:w="95" w:type="dxa"/>
              <w:bottom w:w="95" w:type="dxa"/>
              <w:left w:w="115" w:type="dxa"/>
              <w:right w:w="115" w:type="dxa"/>
            </w:tcMar>
          </w:tcPr>
          <w:p>
            <w:pPr>
              <w:spacing w:after="0" w:line="264" w:lineRule="auto"/>
            </w:pPr>
            <w:r>
              <w:rPr>
                <w:b w:val="0"/>
                <w:sz w:val="19"/>
              </w:rPr>
              <w:t>数据标签状态、基线与候选、比较结果和混淆矩阵</w:t>
            </w:r>
          </w:p>
        </w:tc>
        <w:tc>
          <w:tcPr>
            <w:tcW w:type="dxa" w:w="5040"/>
            <w:vAlign w:val="center"/>
            <w:shd w:fill="F2F6F8"/>
            <w:tcMar>
              <w:top w:w="95" w:type="dxa"/>
              <w:bottom w:w="95" w:type="dxa"/>
              <w:left w:w="115" w:type="dxa"/>
              <w:right w:w="115" w:type="dxa"/>
            </w:tcMar>
          </w:tcPr>
          <w:p>
            <w:pPr>
              <w:spacing w:after="0" w:line="264" w:lineRule="auto"/>
            </w:pPr>
            <w:r>
              <w:rPr>
                <w:b w:val="0"/>
                <w:sz w:val="19"/>
              </w:rPr>
              <w:t>运行比较、取消、导出报告、保存候选</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实验记录</w:t>
            </w:r>
          </w:p>
        </w:tc>
        <w:tc>
          <w:tcPr>
            <w:tcW w:type="dxa" w:w="3168"/>
            <w:vAlign w:val="center"/>
            <w:shd w:fill="FFFFFF"/>
            <w:tcMar>
              <w:top w:w="95" w:type="dxa"/>
              <w:bottom w:w="95" w:type="dxa"/>
              <w:left w:w="115" w:type="dxa"/>
              <w:right w:w="115" w:type="dxa"/>
            </w:tcMar>
          </w:tcPr>
          <w:p>
            <w:pPr>
              <w:spacing w:after="0" w:line="264" w:lineRule="auto"/>
            </w:pPr>
            <w:r>
              <w:rPr>
                <w:b w:val="0"/>
                <w:sz w:val="19"/>
              </w:rPr>
              <w:t>会话来源、完成状态、参数版本和本地位置</w:t>
            </w:r>
          </w:p>
        </w:tc>
        <w:tc>
          <w:tcPr>
            <w:tcW w:type="dxa" w:w="5040"/>
            <w:vAlign w:val="center"/>
            <w:shd w:fill="FFFFFF"/>
            <w:tcMar>
              <w:top w:w="95" w:type="dxa"/>
              <w:bottom w:w="95" w:type="dxa"/>
              <w:left w:w="115" w:type="dxa"/>
              <w:right w:w="115" w:type="dxa"/>
            </w:tcMar>
          </w:tcPr>
          <w:p>
            <w:pPr>
              <w:spacing w:after="0" w:line="264" w:lineRule="auto"/>
            </w:pPr>
            <w:r>
              <w:rPr>
                <w:b w:val="0"/>
                <w:sz w:val="19"/>
              </w:rPr>
              <w:t>查看记录、选择回放数据、导出研究材料</w:t>
            </w:r>
          </w:p>
        </w:tc>
      </w:tr>
    </w:tbl>
    <w:p>
      <w:pPr>
        <w:spacing w:after="40"/>
      </w:pPr>
    </w:p>
    <w:p>
      <w:r>
        <w:rPr>
          <w:b w:val="0"/>
        </w:rPr>
        <w:t>“在线诊断”整合到实验运行页，不再创建另一套开始与暂停控制。正式测量前固定刺激区域几何尺寸；诊断区显隐不应移动或缩放刺激目标。离开运行页导致刺激停止时，先暂停会话并清除选中框。</w:t>
      </w:r>
    </w:p>
    <w:p>
      <w:r>
        <w:rPr>
          <w:b w:val="0"/>
        </w:rPr>
        <w:t>原型仅用于评审页面和流程。桌面版开发必须接入真实状态、采集样本与配置；原型中的浏览器保存和示例报告不能作为真实功能验收依据。</w:t>
      </w:r>
    </w:p>
    <w:p>
      <w:pPr>
        <w:pStyle w:val="Heading1"/>
      </w:pPr>
      <w:r>
        <w:t>5 功能需求</w:t>
      </w:r>
    </w:p>
    <w:p>
      <w:pPr>
        <w:pStyle w:val="Heading2"/>
      </w:pPr>
      <w:r>
        <w:t>5.1 内容与设备</w:t>
      </w:r>
    </w:p>
    <w:p>
      <w:r>
        <w:rPr>
          <w:b/>
        </w:rPr>
        <w:t>FR01 刺激内容。</w:t>
      </w:r>
      <w:r>
        <w:rPr>
          <w:b w:val="0"/>
        </w:rPr>
        <w:t xml:space="preserve"> 沿用六个固定目标 ID 和布局，支持目标名称及文字、图形、图片内容的独立编辑与保存。载入内容包不得更改研发参数。损坏素材或不完整内容应在开始前定位到具体目标，不能运行到中途才静默替换。</w:t>
      </w:r>
    </w:p>
    <w:p>
      <w:r>
        <w:rPr>
          <w:b/>
        </w:rPr>
        <w:t>FR02 通道与阻抗。</w:t>
      </w:r>
      <w:r>
        <w:rPr>
          <w:b w:val="0"/>
        </w:rPr>
        <w:t xml:space="preserve"> 提供 10–20 电极位置示意图，并明确标识扩展 10–10 点位。用户可手动设置通道编号到位置的对应关系并保存；同一通道和位置不能重复绑定。未映射通道显示编号，不推测其解剖位置。当前头图用于位置选择与阻抗展示，不声称是脑源定位或插值电位图。八个识别通道编号必须有效且不同，映射缺失本身不阻止实验。</w:t>
      </w:r>
    </w:p>
    <w:p>
      <w:r>
        <w:rPr>
          <w:b/>
        </w:rPr>
        <w:t>FR03 数据质量与丢样。</w:t>
      </w:r>
      <w:r>
        <w:rPr>
          <w:b w:val="0"/>
        </w:rPr>
        <w:t xml:space="preserve"> 显示本次连接的丢样告警次数和累计丢样点数，记录会话起始计数以计算会话增量。SDK 的 COUNT 表示缺失采样点，不能标成蓝牙包数。数据缺口使受影响窗口失效、清框并重新预热和取窗；连接保持。若确实长期无新数据或设备断连，则按异常表处理，不把所有异常都归为丢包。</w:t>
      </w:r>
    </w:p>
    <w:p>
      <w:pPr>
        <w:pStyle w:val="Heading2"/>
      </w:pPr>
      <w:r>
        <w:t>5.2 参数方案</w:t>
      </w:r>
    </w:p>
    <w:p>
      <w:r>
        <w:rPr>
          <w:b/>
        </w:rPr>
        <w:t>FR04 版本化管理。</w:t>
      </w:r>
      <w:r>
        <w:rPr>
          <w:b w:val="0"/>
        </w:rPr>
        <w:t xml:space="preserve"> 内置“原版 0.2.4 基线”只读。候选可命名、保存为新修订、导入导出；导入不自动替换默认方案。显示算法版本、评分单位、修改时间及验证状态。运行中、暂停中和结束写盘中均锁定内容、通道与参数。</w:t>
      </w:r>
    </w:p>
    <w:p>
      <w:r>
        <w:rPr>
          <w:b/>
        </w:rPr>
        <w:t>FR05 参数校验。</w:t>
      </w:r>
      <w:r>
        <w:rPr>
          <w:b w:val="0"/>
        </w:rPr>
        <w:t xml:space="preserve"> 保存时校验字段与参数关系，启动时再结合实际采样率和设备通道校验。错误定位到字段并阻止应用；频率接近、谐波重合、软件陷波与谐波冲突属于可说明的提示，不直接包装成参数一定无效。未知字段、受限字段或未知算法版本拒绝导入。</w:t>
      </w:r>
    </w:p>
    <w:p>
      <w:r>
        <w:rPr>
          <w:b/>
        </w:rPr>
        <w:t>FR06 生效与回退。</w:t>
      </w:r>
      <w:r>
        <w:rPr>
          <w:b w:val="0"/>
        </w:rPr>
        <w:t xml:space="preserve"> 保存只影响后续新会话。开始实验时冻结参数修订、内容、通道、设备格式和算法版本，刺激、识别与记录使用同一份快照。修改后重开会话，不把旧数据送入新参数。可随时在未运行时选择原版基线开始新会话。</w:t>
      </w:r>
    </w:p>
    <w:p>
      <w:pPr>
        <w:pStyle w:val="Heading2"/>
      </w:pPr>
      <w:r>
        <w:t>5.3 识别与在线诊断</w:t>
      </w:r>
    </w:p>
    <w:p>
      <w:r>
        <w:rPr>
          <w:b/>
        </w:rPr>
        <w:t>FR07 选中与拒识。</w:t>
      </w:r>
      <w:r>
        <w:rPr>
          <w:b w:val="0"/>
        </w:rPr>
        <w:t xml:space="preserve"> 有效窗口通过最高分和所选分差判据后，单次显示目标框；拒识或数据失效立即清除当前框。相同目标的相邻结果保持同一框，不引入三次投票或命令去重服务。低分、分差不足和等待连续数据分别显示原因；低证据不等于已证明“无意图”。</w:t>
      </w:r>
    </w:p>
    <w:p>
      <w:r>
        <w:rPr>
          <w:b/>
        </w:rPr>
        <w:t>FR08 研发诊断。</w:t>
      </w:r>
      <w:r>
        <w:rPr>
          <w:b w:val="0"/>
        </w:rPr>
        <w:t xml:space="preserve"> 展示六目标得分、第一与第二名、分差、判据与拒识原因；展示有效窗口比例、丢样、实际采样率、绘制 FPS、帧间隔 P95 与长帧数、算法耗时。诊断数值最多约每 200 毫秒更新一次，计算与图表不得驱动刺激时钟。FPS 标为软件绘制统计，不能称为物理刷新率或已验证的刺激频率。</w:t>
      </w:r>
    </w:p>
    <w:p>
      <w:r>
        <w:rPr>
          <w:b/>
        </w:rPr>
        <w:t>FR14 样本数驱动。</w:t>
      </w:r>
      <w:r>
        <w:rPr>
          <w:b w:val="0"/>
        </w:rPr>
        <w:t xml:space="preserve"> 窗口宽度仍为 2.5 秒；积累完整窗口后，每新增 50 个样本（250 Hz）或 100 个样本（500 Hz）生成一次识别窗口。在线与回放使用相同的连续段锚点、预热和步长，窗口起止索引不依赖 UI 定时器。界面仅提交操作、呈现刺激与显示结果。计算过载必须标记并暂停反馈，不能静默选择另一批窗口后声称与回放一致。</w:t>
      </w:r>
    </w:p>
    <w:p>
      <w:r>
        <w:rPr>
          <w:b/>
        </w:rPr>
        <w:t>FR15 时钟与健康状态。</w:t>
      </w:r>
      <w:r>
        <w:rPr>
          <w:b w:val="0"/>
        </w:rPr>
        <w:t xml:space="preserve"> 展示样本到主机时钟映射的收敛状态、漂移与残差，保留原始时间戳及模型版本。Python 桥接独立发送心跳，界面分别显示桥接失联或退出、设备无数据、明确设备断连。时钟与健康阈值为内部配置，不增加用户可编辑的采样率、相位或窗口参数。</w:t>
      </w:r>
    </w:p>
    <w:p>
      <w:pPr>
        <w:pStyle w:val="Heading2"/>
      </w:pPr>
      <w:r>
        <w:t>5.4 校准与评估</w:t>
      </w:r>
    </w:p>
    <w:p>
      <w:r>
        <w:rPr>
          <w:b/>
        </w:rPr>
        <w:t>FR09 个人校准。</w:t>
      </w:r>
      <w:r>
        <w:rPr>
          <w:b w:val="0"/>
        </w:rPr>
        <w:t xml:space="preserve"> 建议每目标十次，注视四秒、提示及转移共两秒，六目标共约六分钟；另采约三分钟无意图，基础流程约九至十分钟，休息、补采和独立测试另计。按平衡随机顺序安排，保存随机种子、提示与实际呈现标记。无意图期间保留同样刺激，提示看中央空白或目标外，包含自然眨眼和正常转移。</w:t>
      </w:r>
    </w:p>
    <w:p>
      <w:r>
        <w:rPr>
          <w:b/>
        </w:rPr>
        <w:t>FR10 标签与质量。</w:t>
      </w:r>
      <w:r>
        <w:rPr>
          <w:b w:val="0"/>
        </w:rPr>
        <w:t xml:space="preserve"> 标签包括目标、无意图、切换、休息、未知，表示实验指令而非眼动证实的注视。允许记录走神、移动和接触调整，说明排除原因并补采；不因识别结果不好删除有效试次。会话保留原始试次、排除记录和补采关联。</w:t>
      </w:r>
    </w:p>
    <w:p>
      <w:r>
        <w:rPr>
          <w:b/>
        </w:rPr>
        <w:t>FR11 回放与搜索。</w:t>
      </w:r>
      <w:r>
        <w:rPr>
          <w:b w:val="0"/>
        </w:rPr>
        <w:t xml:space="preserve"> 可比较阈值、软件滤波、谐波、权重和数值算法。刺激频率等采集条件不同的数据不得当作同数据对照。按试次或会话分组，重叠窗口不得跨训练与验证集合；最终测试数据不参与挑参。旧版无标签数据只展示可计算的得分、拒识和连续性，正确率及无意图误触发显示“缺少标签”。</w:t>
      </w:r>
    </w:p>
    <w:p>
      <w:r>
        <w:rPr>
          <w:b/>
        </w:rPr>
        <w:t>FR12 报告与默认方案。</w:t>
      </w:r>
      <w:r>
        <w:rPr>
          <w:b w:val="0"/>
        </w:rPr>
        <w:t xml:space="preserve"> 报告必须列明数据来源、标签数量、排除试次、算法与参数版本、设备及显示条件，并同时给出正确率、覆盖率、误触发和延迟。候选初始状态为“未验证”；只有关联本地独立测试记录后才显示验证结果。导入文件中的已验证字段不能直接授予本地验证状态。通道、频率或适用条件改变时改为“需要复核”。</w:t>
      </w:r>
    </w:p>
    <w:p>
      <w:r>
        <w:rPr>
          <w:b/>
        </w:rPr>
        <w:t>FR13 本地记录。</w:t>
      </w:r>
      <w:r>
        <w:rPr>
          <w:b w:val="0"/>
        </w:rPr>
        <w:t xml:space="preserve"> 本版使用分块二进制文件保存全部采集通道的 SDK 输出样本，NDJSON 只保存事件和诊断，避免逐样本 JSON 的存储与回放解析成本。记录包含内容、参数、通道、状态、呈现时间、得分、判决原因与标签；旧 NDJSON 样本记录继续可读。保存失败必须告知实验不可完整追溯，停止当前实验并标记记录不完整；该行为与丢样告警区分。</w:t>
      </w:r>
    </w:p>
    <w:p>
      <w:r>
        <w:rPr>
          <w:b/>
        </w:rPr>
        <w:t>FR16 科研数据导出。</w:t>
      </w:r>
      <w:r>
        <w:rPr>
          <w:b w:val="0"/>
        </w:rPr>
        <w:t xml:space="preserve"> 本版提供 BrainVision 导出，生成配套的 .vhdr、.vmrk、.eeg 和附属元数据，交付 MNE 读取示例；EDF+ 不作为本版第二个必选格式。采样率、单位、通道顺序、标签和缺口必须可追溯，按连续数据段分文件，不把丢失样本填零后当作有效 EEG。导出后用 MNE 读回核验，不能只以“文件已生成”为通过条件。</w:t>
      </w:r>
    </w:p>
    <w:p>
      <w:pPr>
        <w:pStyle w:val="Heading1"/>
      </w:pPr>
      <w:r>
        <w:t>6 参数规则与首轮候选</w:t>
      </w:r>
    </w:p>
    <w:p>
      <w:r>
        <w:rPr>
          <w:b w:val="0"/>
        </w:rPr>
        <w:t>以下数值是研发起点，不是已验证的推荐配置。原版原始分与研发归一化分属于不同单位，不能直接复用阈值。</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3168"/>
        <w:gridCol w:w="5040"/>
      </w:tblGrid>
      <w:tr>
        <w:trPr>
          <w:cantSplit/>
          <w:tblHeader/>
        </w:trPr>
        <w:tc>
          <w:tcPr>
            <w:tcW w:type="dxa" w:w="1872"/>
            <w:vAlign w:val="center"/>
            <w:shd w:fill="173C51"/>
            <w:tcMar>
              <w:top w:w="95" w:type="dxa"/>
              <w:bottom w:w="95" w:type="dxa"/>
              <w:left w:w="115" w:type="dxa"/>
              <w:right w:w="115" w:type="dxa"/>
            </w:tcMar>
          </w:tcPr>
          <w:p>
            <w:pPr>
              <w:spacing w:after="0" w:line="264" w:lineRule="auto"/>
              <w:jc w:val="center"/>
            </w:pPr>
            <w:r>
              <w:rPr>
                <w:b/>
                <w:color w:val="FFFFFF"/>
                <w:sz w:val="19"/>
              </w:rPr>
              <w:t>参数</w:t>
            </w:r>
          </w:p>
        </w:tc>
        <w:tc>
          <w:tcPr>
            <w:tcW w:type="dxa" w:w="3168"/>
            <w:vAlign w:val="center"/>
            <w:shd w:fill="173C51"/>
            <w:tcMar>
              <w:top w:w="95" w:type="dxa"/>
              <w:bottom w:w="95" w:type="dxa"/>
              <w:left w:w="115" w:type="dxa"/>
              <w:right w:w="115" w:type="dxa"/>
            </w:tcMar>
          </w:tcPr>
          <w:p>
            <w:pPr>
              <w:spacing w:after="0" w:line="264" w:lineRule="auto"/>
            </w:pPr>
            <w:r>
              <w:rPr>
                <w:b/>
                <w:color w:val="FFFFFF"/>
                <w:sz w:val="19"/>
              </w:rPr>
              <w:t>原版基线</w:t>
            </w:r>
          </w:p>
        </w:tc>
        <w:tc>
          <w:tcPr>
            <w:tcW w:type="dxa" w:w="5040"/>
            <w:vAlign w:val="center"/>
            <w:shd w:fill="173C51"/>
            <w:tcMar>
              <w:top w:w="95" w:type="dxa"/>
              <w:bottom w:w="95" w:type="dxa"/>
              <w:left w:w="115" w:type="dxa"/>
              <w:right w:w="115" w:type="dxa"/>
            </w:tcMar>
          </w:tcPr>
          <w:p>
            <w:pPr>
              <w:spacing w:after="0" w:line="264" w:lineRule="auto"/>
            </w:pPr>
            <w:r>
              <w:rPr>
                <w:b/>
                <w:color w:val="FFFFFF"/>
                <w:sz w:val="19"/>
              </w:rPr>
              <w:t>首轮研发候选与输入规则</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最高分阈值</w:t>
            </w:r>
          </w:p>
        </w:tc>
        <w:tc>
          <w:tcPr>
            <w:tcW w:type="dxa" w:w="3168"/>
            <w:vAlign w:val="center"/>
            <w:shd w:fill="FFFFFF"/>
            <w:tcMar>
              <w:top w:w="95" w:type="dxa"/>
              <w:bottom w:w="95" w:type="dxa"/>
              <w:left w:w="115" w:type="dxa"/>
              <w:right w:w="115" w:type="dxa"/>
            </w:tcMar>
          </w:tcPr>
          <w:p>
            <w:pPr>
              <w:spacing w:after="0" w:line="264" w:lineRule="auto"/>
            </w:pPr>
            <w:r>
              <w:rPr>
                <w:b w:val="0"/>
                <w:sz w:val="19"/>
              </w:rPr>
              <w:t>原始分 0.1</w:t>
            </w:r>
          </w:p>
        </w:tc>
        <w:tc>
          <w:tcPr>
            <w:tcW w:type="dxa" w:w="5040"/>
            <w:vAlign w:val="center"/>
            <w:shd w:fill="FFFFFF"/>
            <w:tcMar>
              <w:top w:w="95" w:type="dxa"/>
              <w:bottom w:w="95" w:type="dxa"/>
              <w:left w:w="115" w:type="dxa"/>
              <w:right w:w="115" w:type="dxa"/>
            </w:tcMar>
          </w:tcPr>
          <w:p>
            <w:pPr>
              <w:spacing w:after="0" w:line="264" w:lineRule="auto"/>
            </w:pPr>
            <w:r>
              <w:rPr>
                <w:b w:val="0"/>
                <w:sz w:val="19"/>
              </w:rPr>
              <w:t>归一化分 0.15；合法范围 0–1</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分差</w:t>
            </w:r>
          </w:p>
        </w:tc>
        <w:tc>
          <w:tcPr>
            <w:tcW w:type="dxa" w:w="3168"/>
            <w:vAlign w:val="center"/>
            <w:shd w:fill="F2F6F8"/>
            <w:tcMar>
              <w:top w:w="95" w:type="dxa"/>
              <w:bottom w:w="95" w:type="dxa"/>
              <w:left w:w="115" w:type="dxa"/>
              <w:right w:w="115" w:type="dxa"/>
            </w:tcMar>
          </w:tcPr>
          <w:p>
            <w:pPr>
              <w:spacing w:after="0" w:line="264" w:lineRule="auto"/>
            </w:pPr>
            <w:r>
              <w:rPr>
                <w:b w:val="0"/>
                <w:sz w:val="19"/>
              </w:rPr>
              <w:t>绝对分差 0.02</w:t>
            </w:r>
          </w:p>
        </w:tc>
        <w:tc>
          <w:tcPr>
            <w:tcW w:type="dxa" w:w="5040"/>
            <w:vAlign w:val="center"/>
            <w:shd w:fill="F2F6F8"/>
            <w:tcMar>
              <w:top w:w="95" w:type="dxa"/>
              <w:bottom w:w="95" w:type="dxa"/>
              <w:left w:w="115" w:type="dxa"/>
              <w:right w:w="115" w:type="dxa"/>
            </w:tcMar>
          </w:tcPr>
          <w:p>
            <w:pPr>
              <w:spacing w:after="0" w:line="264" w:lineRule="auto"/>
            </w:pPr>
            <w:r>
              <w:rPr>
                <w:b w:val="0"/>
                <w:sz w:val="19"/>
              </w:rPr>
              <w:t>相对分差 0.15；绝对与相对二选一，范围 0–1</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六目标频率 Hz</w:t>
            </w:r>
          </w:p>
        </w:tc>
        <w:tc>
          <w:tcPr>
            <w:tcW w:type="dxa" w:w="3168"/>
            <w:vAlign w:val="center"/>
            <w:shd w:fill="FFFFFF"/>
            <w:tcMar>
              <w:top w:w="95" w:type="dxa"/>
              <w:bottom w:w="95" w:type="dxa"/>
              <w:left w:w="115" w:type="dxa"/>
              <w:right w:w="115" w:type="dxa"/>
            </w:tcMar>
          </w:tcPr>
          <w:p>
            <w:pPr>
              <w:spacing w:after="0" w:line="264" w:lineRule="auto"/>
            </w:pPr>
            <w:r>
              <w:rPr>
                <w:b w:val="0"/>
                <w:sz w:val="19"/>
              </w:rPr>
              <w:t>8、9.2、10.4、11.6、12.8、14</w:t>
            </w:r>
          </w:p>
        </w:tc>
        <w:tc>
          <w:tcPr>
            <w:tcW w:type="dxa" w:w="5040"/>
            <w:vAlign w:val="center"/>
            <w:shd w:fill="FFFFFF"/>
            <w:tcMar>
              <w:top w:w="95" w:type="dxa"/>
              <w:bottom w:w="95" w:type="dxa"/>
              <w:left w:w="115" w:type="dxa"/>
              <w:right w:w="115" w:type="dxa"/>
            </w:tcMar>
          </w:tcPr>
          <w:p>
            <w:pPr>
              <w:spacing w:after="0" w:line="264" w:lineRule="auto"/>
            </w:pPr>
            <w:r>
              <w:rPr>
                <w:b w:val="0"/>
                <w:sz w:val="19"/>
              </w:rPr>
              <w:t>首轮不变；另采 9、10、11、12、13、14 对照；输入 8–16，步长 0.1，不重复</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软件带通 Hz</w:t>
            </w:r>
          </w:p>
        </w:tc>
        <w:tc>
          <w:tcPr>
            <w:tcW w:type="dxa" w:w="3168"/>
            <w:vAlign w:val="center"/>
            <w:shd w:fill="F2F6F8"/>
            <w:tcMar>
              <w:top w:w="95" w:type="dxa"/>
              <w:bottom w:w="95" w:type="dxa"/>
              <w:left w:w="115" w:type="dxa"/>
              <w:right w:w="115" w:type="dxa"/>
            </w:tcMar>
          </w:tcPr>
          <w:p>
            <w:pPr>
              <w:spacing w:after="0" w:line="264" w:lineRule="auto"/>
            </w:pPr>
            <w:r>
              <w:rPr>
                <w:b w:val="0"/>
                <w:sz w:val="19"/>
              </w:rPr>
              <w:t>8–90、16–90、24–90</w:t>
            </w:r>
          </w:p>
        </w:tc>
        <w:tc>
          <w:tcPr>
            <w:tcW w:type="dxa" w:w="5040"/>
            <w:vAlign w:val="center"/>
            <w:shd w:fill="F2F6F8"/>
            <w:tcMar>
              <w:top w:w="95" w:type="dxa"/>
              <w:bottom w:w="95" w:type="dxa"/>
              <w:left w:w="115" w:type="dxa"/>
              <w:right w:w="115" w:type="dxa"/>
            </w:tcMar>
          </w:tcPr>
          <w:p>
            <w:pPr>
              <w:spacing w:after="0" w:line="264" w:lineRule="auto"/>
            </w:pPr>
            <w:r>
              <w:rPr>
                <w:b w:val="0"/>
                <w:sz w:val="19"/>
              </w:rPr>
              <w:t>6–48、14–48、22–48；每带下限小于上限且低于奈奎斯特频率</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滤波实现</w:t>
            </w:r>
          </w:p>
        </w:tc>
        <w:tc>
          <w:tcPr>
            <w:tcW w:type="dxa" w:w="3168"/>
            <w:vAlign w:val="center"/>
            <w:shd w:fill="FFFFFF"/>
            <w:tcMar>
              <w:top w:w="95" w:type="dxa"/>
              <w:bottom w:w="95" w:type="dxa"/>
              <w:left w:w="115" w:type="dxa"/>
              <w:right w:w="115" w:type="dxa"/>
            </w:tcMar>
          </w:tcPr>
          <w:p>
            <w:pPr>
              <w:spacing w:after="0" w:line="264" w:lineRule="auto"/>
            </w:pPr>
            <w:r>
              <w:rPr>
                <w:b w:val="0"/>
                <w:sz w:val="19"/>
              </w:rPr>
              <w:t>129 抽头窗口 FIR</w:t>
            </w:r>
          </w:p>
        </w:tc>
        <w:tc>
          <w:tcPr>
            <w:tcW w:type="dxa" w:w="5040"/>
            <w:vAlign w:val="center"/>
            <w:shd w:fill="FFFFFF"/>
            <w:tcMar>
              <w:top w:w="95" w:type="dxa"/>
              <w:bottom w:w="95" w:type="dxa"/>
              <w:left w:w="115" w:type="dxa"/>
              <w:right w:w="115" w:type="dxa"/>
            </w:tcMar>
          </w:tcPr>
          <w:p>
            <w:pPr>
              <w:spacing w:after="0" w:line="264" w:lineRule="auto"/>
            </w:pPr>
            <w:r>
              <w:rPr>
                <w:b w:val="0"/>
                <w:sz w:val="19"/>
              </w:rPr>
              <w:t>连续 SOS Butterworth；原型四阶，实际带通八阶；内部阶数首版固定</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参考谐波</w:t>
            </w:r>
          </w:p>
        </w:tc>
        <w:tc>
          <w:tcPr>
            <w:tcW w:type="dxa" w:w="3168"/>
            <w:vAlign w:val="center"/>
            <w:shd w:fill="F2F6F8"/>
            <w:tcMar>
              <w:top w:w="95" w:type="dxa"/>
              <w:bottom w:w="95" w:type="dxa"/>
              <w:left w:w="115" w:type="dxa"/>
              <w:right w:w="115" w:type="dxa"/>
            </w:tcMar>
          </w:tcPr>
          <w:p>
            <w:pPr>
              <w:spacing w:after="0" w:line="264" w:lineRule="auto"/>
            </w:pPr>
            <w:r>
              <w:rPr>
                <w:b w:val="0"/>
                <w:sz w:val="19"/>
              </w:rPr>
              <w:t>三次</w:t>
            </w:r>
          </w:p>
        </w:tc>
        <w:tc>
          <w:tcPr>
            <w:tcW w:type="dxa" w:w="5040"/>
            <w:vAlign w:val="center"/>
            <w:shd w:fill="F2F6F8"/>
            <w:tcMar>
              <w:top w:w="95" w:type="dxa"/>
              <w:bottom w:w="95" w:type="dxa"/>
              <w:left w:w="115" w:type="dxa"/>
              <w:right w:w="115" w:type="dxa"/>
            </w:tcMar>
          </w:tcPr>
          <w:p>
            <w:pPr>
              <w:spacing w:after="0" w:line="264" w:lineRule="auto"/>
            </w:pPr>
            <w:r>
              <w:rPr>
                <w:b w:val="0"/>
                <w:sz w:val="19"/>
              </w:rPr>
              <w:t>二次或三次；与三个子带的数量解耦</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子带权重</w:t>
            </w:r>
          </w:p>
        </w:tc>
        <w:tc>
          <w:tcPr>
            <w:tcW w:type="dxa" w:w="3168"/>
            <w:vAlign w:val="center"/>
            <w:shd w:fill="FFFFFF"/>
            <w:tcMar>
              <w:top w:w="95" w:type="dxa"/>
              <w:bottom w:w="95" w:type="dxa"/>
              <w:left w:w="115" w:type="dxa"/>
              <w:right w:w="115" w:type="dxa"/>
            </w:tcMar>
          </w:tcPr>
          <w:p>
            <w:pPr>
              <w:spacing w:after="0" w:line="264" w:lineRule="auto"/>
            </w:pPr>
            <w:r>
              <w:rPr>
                <w:b w:val="0"/>
                <w:sz w:val="19"/>
              </w:rPr>
              <w:t>n 的 −1.25 次方加 0.25</w:t>
            </w:r>
          </w:p>
        </w:tc>
        <w:tc>
          <w:tcPr>
            <w:tcW w:type="dxa" w:w="5040"/>
            <w:vAlign w:val="center"/>
            <w:shd w:fill="FFFFFF"/>
            <w:tcMar>
              <w:top w:w="95" w:type="dxa"/>
              <w:bottom w:w="95" w:type="dxa"/>
              <w:left w:w="115" w:type="dxa"/>
              <w:right w:w="115" w:type="dxa"/>
            </w:tcMar>
          </w:tcPr>
          <w:p>
            <w:pPr>
              <w:spacing w:after="0" w:line="264" w:lineRule="auto"/>
            </w:pPr>
            <w:r>
              <w:rPr>
                <w:b w:val="0"/>
                <w:sz w:val="19"/>
              </w:rPr>
              <w:t>初值 1.25、0.6704482076268572、0.5032785618838642；有限非负，总和大于零</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软件陷波</w:t>
            </w:r>
          </w:p>
        </w:tc>
        <w:tc>
          <w:tcPr>
            <w:tcW w:type="dxa" w:w="3168"/>
            <w:vAlign w:val="center"/>
            <w:shd w:fill="F2F6F8"/>
            <w:tcMar>
              <w:top w:w="95" w:type="dxa"/>
              <w:bottom w:w="95" w:type="dxa"/>
              <w:left w:w="115" w:type="dxa"/>
              <w:right w:w="115" w:type="dxa"/>
            </w:tcMar>
          </w:tcPr>
          <w:p>
            <w:pPr>
              <w:spacing w:after="0" w:line="264" w:lineRule="auto"/>
            </w:pPr>
            <w:r>
              <w:rPr>
                <w:b w:val="0"/>
                <w:sz w:val="19"/>
              </w:rPr>
              <w:t>无额外软件陷波</w:t>
            </w:r>
          </w:p>
        </w:tc>
        <w:tc>
          <w:tcPr>
            <w:tcW w:type="dxa" w:w="5040"/>
            <w:vAlign w:val="center"/>
            <w:shd w:fill="F2F6F8"/>
            <w:tcMar>
              <w:top w:w="95" w:type="dxa"/>
              <w:bottom w:w="95" w:type="dxa"/>
              <w:left w:w="115" w:type="dxa"/>
              <w:right w:w="115" w:type="dxa"/>
            </w:tcMar>
          </w:tcPr>
          <w:p>
            <w:pPr>
              <w:spacing w:after="0" w:line="264" w:lineRule="auto"/>
            </w:pPr>
            <w:r>
              <w:rPr>
                <w:b w:val="0"/>
                <w:sz w:val="19"/>
              </w:rPr>
              <w:t>默认关，可选 50 或 60 Hz；Q 初值 30，范围 10–60</w:t>
            </w:r>
          </w:p>
        </w:tc>
      </w:tr>
    </w:tbl>
    <w:p>
      <w:pPr>
        <w:spacing w:after="40"/>
      </w:pPr>
    </w:p>
    <w:p>
      <w:r>
        <w:rPr>
          <w:b w:val="0"/>
        </w:rPr>
        <w:t>第一子带须覆盖全部目标基频；谐波参考频率须低于奈奎斯特频率。频率间隔小于 1 Hz、低阶谐波接近或滤波显著衰减参考谐波时给出可解释提示。SDK 硬件滤波与软件滤波分开显示；硬件状态不能读回时显示“未核验”，不假定已经关闭。</w:t>
      </w:r>
    </w:p>
    <w:p>
      <w:r>
        <w:rPr>
          <w:b w:val="0"/>
        </w:rPr>
        <w:t>刺激相位的时间来源改为 WPF RenderingTime，Stopwatch 仅用于主机单调计时、耗时和健康检测。配置指纹采用明确字段范围的 RFC 8785 JCS 规范序列化后计算 SHA256；名称、保存时间、浮点文本写法变化不得改变有效处理配置的指纹。具体规则与技术依据见架构设计。</w:t>
      </w:r>
    </w:p>
    <w:p>
      <w:r>
        <w:rPr>
          <w:b w:val="0"/>
        </w:rPr>
        <w:t>建议先比较少量滤波与谐波组合，再为每种处理链扫描阈值。首轮最高分候选为 0.10、0.12、0.15、0.18、0.21；相对分差候选为 0.10、0.15、0.20；绝对分差候选为 0.015、0.025、0.035、0.045。搜索范围与筛选依据写入报告。</w:t>
      </w:r>
    </w:p>
    <w:p>
      <w:pPr>
        <w:pStyle w:val="Heading1"/>
      </w:pPr>
      <w:r>
        <w:t>7 运行状态与异常处理</w:t>
      </w:r>
    </w:p>
    <w:p>
      <w:r>
        <w:rPr>
          <w:b w:val="0"/>
        </w:rPr>
        <w:t>开始条件为设备或模拟源已就绪、有效新样本、实际采样率受支持、八个有效通道、内容与参数校验通过、记录目录可写。开始后等待首帧、滤波预热和完整窗口；等待期间无选中框。阻抗值不进入开始条件。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7920"/>
      </w:tblGrid>
      <w:tr>
        <w:trPr>
          <w:cantSplit/>
          <w:tblHeader/>
        </w:trPr>
        <w:tc>
          <w:tcPr>
            <w:tcW w:type="dxa" w:w="2160"/>
            <w:vAlign w:val="center"/>
            <w:shd w:fill="173C51"/>
            <w:tcMar>
              <w:top w:w="95" w:type="dxa"/>
              <w:bottom w:w="95" w:type="dxa"/>
              <w:left w:w="115" w:type="dxa"/>
              <w:right w:w="115" w:type="dxa"/>
            </w:tcMar>
          </w:tcPr>
          <w:p>
            <w:pPr>
              <w:spacing w:after="0" w:line="264" w:lineRule="auto"/>
            </w:pPr>
            <w:r>
              <w:rPr>
                <w:b/>
                <w:color w:val="FFFFFF"/>
                <w:sz w:val="20"/>
              </w:rPr>
              <w:t>情况</w:t>
            </w:r>
          </w:p>
        </w:tc>
        <w:tc>
          <w:tcPr>
            <w:tcW w:type="dxa" w:w="7920"/>
            <w:vAlign w:val="center"/>
            <w:shd w:fill="173C51"/>
            <w:tcMar>
              <w:top w:w="95" w:type="dxa"/>
              <w:bottom w:w="95" w:type="dxa"/>
              <w:left w:w="115" w:type="dxa"/>
              <w:right w:w="115" w:type="dxa"/>
            </w:tcMar>
          </w:tcPr>
          <w:p>
            <w:pPr>
              <w:spacing w:after="0" w:line="264" w:lineRule="auto"/>
            </w:pPr>
            <w:r>
              <w:rPr>
                <w:b/>
                <w:color w:val="FFFFFF"/>
                <w:sz w:val="20"/>
              </w:rPr>
              <w:t>预期行为</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准备检查或记录目录创建失败</w:t>
            </w:r>
          </w:p>
        </w:tc>
        <w:tc>
          <w:tcPr>
            <w:tcW w:type="dxa" w:w="7920"/>
            <w:vAlign w:val="center"/>
            <w:shd w:fill="FFFFFF"/>
            <w:tcMar>
              <w:top w:w="95" w:type="dxa"/>
              <w:bottom w:w="95" w:type="dxa"/>
              <w:left w:w="115" w:type="dxa"/>
              <w:right w:w="115" w:type="dxa"/>
            </w:tcMar>
          </w:tcPr>
          <w:p>
            <w:pPr>
              <w:spacing w:after="0" w:line="264" w:lineRule="auto"/>
            </w:pPr>
            <w:r>
              <w:rPr>
                <w:b w:val="0"/>
                <w:sz w:val="20"/>
              </w:rPr>
              <w:t>留在 Preparing，指出失败项并回滚已创建资源；保留连接与草稿，允许修改后重试</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正常开始或恢复</w:t>
            </w:r>
          </w:p>
        </w:tc>
        <w:tc>
          <w:tcPr>
            <w:tcW w:type="dxa" w:w="7920"/>
            <w:vAlign w:val="center"/>
            <w:shd w:fill="F2F6F8"/>
            <w:tcMar>
              <w:top w:w="95" w:type="dxa"/>
              <w:bottom w:w="95" w:type="dxa"/>
              <w:left w:w="115" w:type="dxa"/>
              <w:right w:w="115" w:type="dxa"/>
            </w:tcMar>
          </w:tcPr>
          <w:p>
            <w:pPr>
              <w:spacing w:after="0" w:line="264" w:lineRule="auto"/>
            </w:pPr>
            <w:r>
              <w:rPr>
                <w:b w:val="0"/>
                <w:sz w:val="20"/>
              </w:rPr>
              <w:t>冻结或复用当前快照；新运行代次；清框；重新积累有效数据</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暂停或离开刺激画面</w:t>
            </w:r>
          </w:p>
        </w:tc>
        <w:tc>
          <w:tcPr>
            <w:tcW w:type="dxa" w:w="7920"/>
            <w:vAlign w:val="center"/>
            <w:shd w:fill="FFFFFF"/>
            <w:tcMar>
              <w:top w:w="95" w:type="dxa"/>
              <w:bottom w:w="95" w:type="dxa"/>
              <w:left w:w="115" w:type="dxa"/>
              <w:right w:w="115" w:type="dxa"/>
            </w:tcMar>
          </w:tcPr>
          <w:p>
            <w:pPr>
              <w:spacing w:after="0" w:line="264" w:lineRule="auto"/>
            </w:pPr>
            <w:r>
              <w:rPr>
                <w:b w:val="0"/>
                <w:sz w:val="20"/>
              </w:rPr>
              <w:t>停止刺激及识别反馈，保留设备连接和当前方案锁定；恢复重新预热</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LOST SAMPLE 或已确认缺口</w:t>
            </w:r>
          </w:p>
        </w:tc>
        <w:tc>
          <w:tcPr>
            <w:tcW w:type="dxa" w:w="7920"/>
            <w:vAlign w:val="center"/>
            <w:shd w:fill="F2F6F8"/>
            <w:tcMar>
              <w:top w:w="95" w:type="dxa"/>
              <w:bottom w:w="95" w:type="dxa"/>
              <w:left w:w="115" w:type="dxa"/>
              <w:right w:w="115" w:type="dxa"/>
            </w:tcMar>
          </w:tcPr>
          <w:p>
            <w:pPr>
              <w:spacing w:after="0" w:line="264" w:lineRule="auto"/>
            </w:pPr>
            <w:r>
              <w:rPr>
                <w:b w:val="0"/>
                <w:sz w:val="20"/>
              </w:rPr>
              <w:t>更新计数与质量状态，丢弃受影响窗口；不直接结束或断开</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高阻抗或阻抗未知</w:t>
            </w:r>
          </w:p>
        </w:tc>
        <w:tc>
          <w:tcPr>
            <w:tcW w:type="dxa" w:w="7920"/>
            <w:vAlign w:val="center"/>
            <w:shd w:fill="FFFFFF"/>
            <w:tcMar>
              <w:top w:w="95" w:type="dxa"/>
              <w:bottom w:w="95" w:type="dxa"/>
              <w:left w:w="115" w:type="dxa"/>
              <w:right w:w="115" w:type="dxa"/>
            </w:tcMar>
          </w:tcPr>
          <w:p>
            <w:pPr>
              <w:spacing w:after="0" w:line="264" w:lineRule="auto"/>
            </w:pPr>
            <w:r>
              <w:rPr>
                <w:b w:val="0"/>
                <w:sz w:val="20"/>
              </w:rPr>
              <w:t>提示并记录，允许继续运行</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心跳正常但无新样本超过 500 毫秒</w:t>
            </w:r>
          </w:p>
        </w:tc>
        <w:tc>
          <w:tcPr>
            <w:tcW w:type="dxa" w:w="7920"/>
            <w:vAlign w:val="center"/>
            <w:shd w:fill="F2F6F8"/>
            <w:tcMar>
              <w:top w:w="95" w:type="dxa"/>
              <w:bottom w:w="95" w:type="dxa"/>
              <w:left w:w="115" w:type="dxa"/>
              <w:right w:w="115" w:type="dxa"/>
            </w:tcMar>
          </w:tcPr>
          <w:p>
            <w:pPr>
              <w:spacing w:after="0" w:line="264" w:lineRule="auto"/>
            </w:pPr>
            <w:r>
              <w:rPr>
                <w:b w:val="0"/>
                <w:sz w:val="20"/>
              </w:rPr>
              <w:t>暂停、清框，显示“设备无数据”；保留连接，待数据恢复后由用户恢复</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心跳超过三秒未到但进程仍在</w:t>
            </w:r>
          </w:p>
        </w:tc>
        <w:tc>
          <w:tcPr>
            <w:tcW w:type="dxa" w:w="7920"/>
            <w:vAlign w:val="center"/>
            <w:shd w:fill="FFFFFF"/>
            <w:tcMar>
              <w:top w:w="95" w:type="dxa"/>
              <w:bottom w:w="95" w:type="dxa"/>
              <w:left w:w="115" w:type="dxa"/>
              <w:right w:w="115" w:type="dxa"/>
            </w:tcMar>
          </w:tcPr>
          <w:p>
            <w:pPr>
              <w:spacing w:after="0" w:line="264" w:lineRule="auto"/>
            </w:pPr>
            <w:r>
              <w:rPr>
                <w:b w:val="0"/>
                <w:sz w:val="20"/>
              </w:rPr>
              <w:t>暂停，显示“桥接无响应，设备状态未知”；继续观察，不直接判为设备断连</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Python 进程已退出或通信通道关闭</w:t>
            </w:r>
          </w:p>
        </w:tc>
        <w:tc>
          <w:tcPr>
            <w:tcW w:type="dxa" w:w="7920"/>
            <w:vAlign w:val="center"/>
            <w:shd w:fill="F2F6F8"/>
            <w:tcMar>
              <w:top w:w="95" w:type="dxa"/>
              <w:bottom w:w="95" w:type="dxa"/>
              <w:left w:w="115" w:type="dxa"/>
              <w:right w:w="115" w:type="dxa"/>
            </w:tcMar>
          </w:tcPr>
          <w:p>
            <w:pPr>
              <w:spacing w:after="0" w:line="264" w:lineRule="auto"/>
            </w:pPr>
            <w:r>
              <w:rPr>
                <w:b w:val="0"/>
                <w:sz w:val="20"/>
              </w:rPr>
              <w:t>结束并标记“桥接进程退出或 IPC 失败”；重新启动桥接后新开会话</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SDK 明确上报断连或采集格式改变</w:t>
            </w:r>
          </w:p>
        </w:tc>
        <w:tc>
          <w:tcPr>
            <w:tcW w:type="dxa" w:w="7920"/>
            <w:vAlign w:val="center"/>
            <w:shd w:fill="FFFFFF"/>
            <w:tcMar>
              <w:top w:w="95" w:type="dxa"/>
              <w:bottom w:w="95" w:type="dxa"/>
              <w:left w:w="115" w:type="dxa"/>
              <w:right w:w="115" w:type="dxa"/>
            </w:tcMar>
          </w:tcPr>
          <w:p>
            <w:pPr>
              <w:spacing w:after="0" w:line="264" w:lineRule="auto"/>
            </w:pPr>
            <w:r>
              <w:rPr>
                <w:b w:val="0"/>
                <w:sz w:val="20"/>
              </w:rPr>
              <w:t>清框并结束当前会话，记录证据；重新连接后新开会话</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刺激呈现中断或分类持续过载</w:t>
            </w:r>
          </w:p>
        </w:tc>
        <w:tc>
          <w:tcPr>
            <w:tcW w:type="dxa" w:w="7920"/>
            <w:vAlign w:val="center"/>
            <w:shd w:fill="F2F6F8"/>
            <w:tcMar>
              <w:top w:w="95" w:type="dxa"/>
              <w:bottom w:w="95" w:type="dxa"/>
              <w:left w:w="115" w:type="dxa"/>
              <w:right w:w="115" w:type="dxa"/>
            </w:tcMar>
          </w:tcPr>
          <w:p>
            <w:pPr>
              <w:spacing w:after="0" w:line="264" w:lineRule="auto"/>
            </w:pPr>
            <w:r>
              <w:rPr>
                <w:b w:val="0"/>
                <w:sz w:val="20"/>
              </w:rPr>
              <w:t>暂停、清框，记录窗口与原因；不自动断开设备</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记录失败或算法不可恢复错误</w:t>
            </w:r>
          </w:p>
        </w:tc>
        <w:tc>
          <w:tcPr>
            <w:tcW w:type="dxa" w:w="7920"/>
            <w:vAlign w:val="center"/>
            <w:shd w:fill="FFFFFF"/>
            <w:tcMar>
              <w:top w:w="95" w:type="dxa"/>
              <w:bottom w:w="95" w:type="dxa"/>
              <w:left w:w="115" w:type="dxa"/>
              <w:right w:w="115" w:type="dxa"/>
            </w:tcMar>
          </w:tcPr>
          <w:p>
            <w:pPr>
              <w:spacing w:after="0" w:line="264" w:lineRule="auto"/>
            </w:pPr>
            <w:r>
              <w:rPr>
                <w:b w:val="0"/>
                <w:sz w:val="20"/>
              </w:rPr>
              <w:t>停止当前实验并明确原因，不生成完整记录标记</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结束后迟到的识别结果</w:t>
            </w:r>
          </w:p>
        </w:tc>
        <w:tc>
          <w:tcPr>
            <w:tcW w:type="dxa" w:w="7920"/>
            <w:vAlign w:val="center"/>
            <w:shd w:fill="F2F6F8"/>
            <w:tcMar>
              <w:top w:w="95" w:type="dxa"/>
              <w:bottom w:w="95" w:type="dxa"/>
              <w:left w:w="115" w:type="dxa"/>
              <w:right w:w="115" w:type="dxa"/>
            </w:tcMar>
          </w:tcPr>
          <w:p>
            <w:pPr>
              <w:spacing w:after="0" w:line="264" w:lineRule="auto"/>
            </w:pPr>
            <w:r>
              <w:rPr>
                <w:b w:val="0"/>
                <w:sz w:val="20"/>
              </w:rPr>
              <w:t>丢弃，不修改页面，不写入新会话</w:t>
            </w:r>
          </w:p>
        </w:tc>
      </w:tr>
    </w:tbl>
    <w:p>
      <w:pPr>
        <w:spacing w:after="40"/>
      </w:pPr>
    </w:p>
    <w:p>
      <w:r>
        <w:rPr>
          <w:b w:val="0"/>
        </w:rPr>
        <w:t>结束过程中显示“正在保存”，保存完成前不允许更改配置或重新开始。设备断开、停止和文件失败等异常均保留可用记录，禁止静默宣称完成。</w:t>
      </w:r>
    </w:p>
    <w:p>
      <w:pPr>
        <w:pStyle w:val="Heading1"/>
      </w:pPr>
      <w:r>
        <w:t>8 验收标准</w:t>
      </w:r>
    </w:p>
    <w:p>
      <w:pPr>
        <w:pStyle w:val="Heading2"/>
      </w:pPr>
      <w:r>
        <w:t>8.1 工程验收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79"/>
        <w:gridCol w:w="1872"/>
        <w:gridCol w:w="7229"/>
      </w:tblGrid>
      <w:tr>
        <w:trPr>
          <w:cantSplit/>
          <w:tblHeader/>
        </w:trPr>
        <w:tc>
          <w:tcPr>
            <w:tcW w:type="dxa" w:w="979"/>
            <w:vAlign w:val="center"/>
            <w:shd w:fill="173C51"/>
            <w:tcMar>
              <w:top w:w="95" w:type="dxa"/>
              <w:bottom w:w="95" w:type="dxa"/>
              <w:left w:w="115" w:type="dxa"/>
              <w:right w:w="115" w:type="dxa"/>
            </w:tcMar>
          </w:tcPr>
          <w:p>
            <w:pPr>
              <w:spacing w:after="0" w:line="264" w:lineRule="auto"/>
              <w:jc w:val="center"/>
            </w:pPr>
            <w:r>
              <w:rPr>
                <w:b/>
                <w:color w:val="FFFFFF"/>
                <w:sz w:val="19"/>
              </w:rPr>
              <w:t>编号</w:t>
            </w:r>
          </w:p>
        </w:tc>
        <w:tc>
          <w:tcPr>
            <w:tcW w:type="dxa" w:w="1872"/>
            <w:vAlign w:val="center"/>
            <w:shd w:fill="173C51"/>
            <w:tcMar>
              <w:top w:w="95" w:type="dxa"/>
              <w:bottom w:w="95" w:type="dxa"/>
              <w:left w:w="115" w:type="dxa"/>
              <w:right w:w="115" w:type="dxa"/>
            </w:tcMar>
          </w:tcPr>
          <w:p>
            <w:pPr>
              <w:spacing w:after="0" w:line="264" w:lineRule="auto"/>
              <w:jc w:val="center"/>
            </w:pPr>
            <w:r>
              <w:rPr>
                <w:b/>
                <w:color w:val="FFFFFF"/>
                <w:sz w:val="19"/>
              </w:rPr>
              <w:t>验收场景</w:t>
            </w:r>
          </w:p>
        </w:tc>
        <w:tc>
          <w:tcPr>
            <w:tcW w:type="dxa" w:w="7229"/>
            <w:vAlign w:val="center"/>
            <w:shd w:fill="173C51"/>
            <w:tcMar>
              <w:top w:w="95" w:type="dxa"/>
              <w:bottom w:w="95" w:type="dxa"/>
              <w:left w:w="115" w:type="dxa"/>
              <w:right w:w="115" w:type="dxa"/>
            </w:tcMar>
          </w:tcPr>
          <w:p>
            <w:pPr>
              <w:spacing w:after="0" w:line="264" w:lineRule="auto"/>
            </w:pPr>
            <w:r>
              <w:rPr>
                <w:b/>
                <w:color w:val="FFFFFF"/>
                <w:sz w:val="19"/>
              </w:rPr>
              <w:t>通过条件</w:t>
            </w:r>
          </w:p>
        </w:tc>
      </w:tr>
      <w:tr>
        <w:trPr>
          <w:cantSplit/>
        </w:trPr>
        <w:tc>
          <w:tcPr>
            <w:tcW w:type="dxa" w:w="979"/>
            <w:vAlign w:val="center"/>
            <w:shd w:fill="FFFFFF"/>
            <w:tcMar>
              <w:top w:w="95" w:type="dxa"/>
              <w:bottom w:w="95" w:type="dxa"/>
              <w:left w:w="115" w:type="dxa"/>
              <w:right w:w="115" w:type="dxa"/>
            </w:tcMar>
          </w:tcPr>
          <w:p>
            <w:pPr>
              <w:spacing w:after="0" w:line="264" w:lineRule="auto"/>
              <w:jc w:val="center"/>
            </w:pPr>
            <w:r>
              <w:rPr>
                <w:b w:val="0"/>
                <w:sz w:val="19"/>
              </w:rPr>
              <w:t>AC01</w:t>
            </w:r>
          </w:p>
        </w:tc>
        <w:tc>
          <w:tcPr>
            <w:tcW w:type="dxa" w:w="1872"/>
            <w:vAlign w:val="center"/>
            <w:shd w:fill="FFFFFF"/>
            <w:tcMar>
              <w:top w:w="95" w:type="dxa"/>
              <w:bottom w:w="95" w:type="dxa"/>
              <w:left w:w="115" w:type="dxa"/>
              <w:right w:w="115" w:type="dxa"/>
            </w:tcMar>
          </w:tcPr>
          <w:p>
            <w:pPr>
              <w:spacing w:after="0" w:line="264" w:lineRule="auto"/>
            </w:pPr>
            <w:r>
              <w:rPr>
                <w:b w:val="0"/>
                <w:sz w:val="19"/>
              </w:rPr>
              <w:t>六目标内容及映射</w:t>
            </w:r>
          </w:p>
        </w:tc>
        <w:tc>
          <w:tcPr>
            <w:tcW w:type="dxa" w:w="7229"/>
            <w:vAlign w:val="center"/>
            <w:shd w:fill="FFFFFF"/>
            <w:tcMar>
              <w:top w:w="95" w:type="dxa"/>
              <w:bottom w:w="95" w:type="dxa"/>
              <w:left w:w="115" w:type="dxa"/>
              <w:right w:w="115" w:type="dxa"/>
            </w:tcMar>
          </w:tcPr>
          <w:p>
            <w:pPr>
              <w:spacing w:after="0" w:line="264" w:lineRule="auto"/>
            </w:pPr>
            <w:r>
              <w:rPr>
                <w:b w:val="0"/>
                <w:sz w:val="19"/>
              </w:rPr>
              <w:t>内容保存再载入一致；手动映射重启后恢复；重复映射被定位提示</w:t>
            </w:r>
          </w:p>
        </w:tc>
      </w:tr>
      <w:tr>
        <w:trPr>
          <w:cantSplit/>
        </w:trPr>
        <w:tc>
          <w:tcPr>
            <w:tcW w:type="dxa" w:w="979"/>
            <w:vAlign w:val="center"/>
            <w:shd w:fill="F2F6F8"/>
            <w:tcMar>
              <w:top w:w="95" w:type="dxa"/>
              <w:bottom w:w="95" w:type="dxa"/>
              <w:left w:w="115" w:type="dxa"/>
              <w:right w:w="115" w:type="dxa"/>
            </w:tcMar>
          </w:tcPr>
          <w:p>
            <w:pPr>
              <w:spacing w:after="0" w:line="264" w:lineRule="auto"/>
              <w:jc w:val="center"/>
            </w:pPr>
            <w:r>
              <w:rPr>
                <w:b w:val="0"/>
                <w:sz w:val="19"/>
              </w:rPr>
              <w:t>AC02</w:t>
            </w:r>
          </w:p>
        </w:tc>
        <w:tc>
          <w:tcPr>
            <w:tcW w:type="dxa" w:w="1872"/>
            <w:vAlign w:val="center"/>
            <w:shd w:fill="F2F6F8"/>
            <w:tcMar>
              <w:top w:w="95" w:type="dxa"/>
              <w:bottom w:w="95" w:type="dxa"/>
              <w:left w:w="115" w:type="dxa"/>
              <w:right w:w="115" w:type="dxa"/>
            </w:tcMar>
          </w:tcPr>
          <w:p>
            <w:pPr>
              <w:spacing w:after="0" w:line="264" w:lineRule="auto"/>
            </w:pPr>
            <w:r>
              <w:rPr>
                <w:b w:val="0"/>
                <w:sz w:val="19"/>
              </w:rPr>
              <w:t>参数边界</w:t>
            </w:r>
          </w:p>
        </w:tc>
        <w:tc>
          <w:tcPr>
            <w:tcW w:type="dxa" w:w="7229"/>
            <w:vAlign w:val="center"/>
            <w:shd w:fill="F2F6F8"/>
            <w:tcMar>
              <w:top w:w="95" w:type="dxa"/>
              <w:bottom w:w="95" w:type="dxa"/>
              <w:left w:w="115" w:type="dxa"/>
              <w:right w:w="115" w:type="dxa"/>
            </w:tcMar>
          </w:tcPr>
          <w:p>
            <w:pPr>
              <w:spacing w:after="0" w:line="264" w:lineRule="auto"/>
            </w:pPr>
            <w:r>
              <w:rPr>
                <w:b w:val="0"/>
                <w:sz w:val="19"/>
              </w:rPr>
              <w:t>受限或未知字段不能导入；非法频率、滤波与评分版本不能应用</w:t>
            </w:r>
          </w:p>
        </w:tc>
      </w:tr>
      <w:tr>
        <w:trPr>
          <w:cantSplit/>
        </w:trPr>
        <w:tc>
          <w:tcPr>
            <w:tcW w:type="dxa" w:w="979"/>
            <w:vAlign w:val="center"/>
            <w:shd w:fill="FFFFFF"/>
            <w:tcMar>
              <w:top w:w="95" w:type="dxa"/>
              <w:bottom w:w="95" w:type="dxa"/>
              <w:left w:w="115" w:type="dxa"/>
              <w:right w:w="115" w:type="dxa"/>
            </w:tcMar>
          </w:tcPr>
          <w:p>
            <w:pPr>
              <w:spacing w:after="0" w:line="264" w:lineRule="auto"/>
              <w:jc w:val="center"/>
            </w:pPr>
            <w:r>
              <w:rPr>
                <w:b w:val="0"/>
                <w:sz w:val="19"/>
              </w:rPr>
              <w:t>AC03</w:t>
            </w:r>
          </w:p>
        </w:tc>
        <w:tc>
          <w:tcPr>
            <w:tcW w:type="dxa" w:w="1872"/>
            <w:vAlign w:val="center"/>
            <w:shd w:fill="FFFFFF"/>
            <w:tcMar>
              <w:top w:w="95" w:type="dxa"/>
              <w:bottom w:w="95" w:type="dxa"/>
              <w:left w:w="115" w:type="dxa"/>
              <w:right w:w="115" w:type="dxa"/>
            </w:tcMar>
          </w:tcPr>
          <w:p>
            <w:pPr>
              <w:spacing w:after="0" w:line="264" w:lineRule="auto"/>
            </w:pPr>
            <w:r>
              <w:rPr>
                <w:b w:val="0"/>
                <w:sz w:val="19"/>
              </w:rPr>
              <w:t>生命周期</w:t>
            </w:r>
          </w:p>
        </w:tc>
        <w:tc>
          <w:tcPr>
            <w:tcW w:type="dxa" w:w="7229"/>
            <w:vAlign w:val="center"/>
            <w:shd w:fill="FFFFFF"/>
            <w:tcMar>
              <w:top w:w="95" w:type="dxa"/>
              <w:bottom w:w="95" w:type="dxa"/>
              <w:left w:w="115" w:type="dxa"/>
              <w:right w:w="115" w:type="dxa"/>
            </w:tcMar>
          </w:tcPr>
          <w:p>
            <w:pPr>
              <w:spacing w:after="0" w:line="264" w:lineRule="auto"/>
            </w:pPr>
            <w:r>
              <w:rPr>
                <w:b w:val="0"/>
                <w:sz w:val="19"/>
              </w:rPr>
              <w:t>运行、暂停、写盘期间锁定；新会话使用新方案；旧结果不能回写</w:t>
            </w:r>
          </w:p>
        </w:tc>
      </w:tr>
      <w:tr>
        <w:trPr>
          <w:cantSplit/>
        </w:trPr>
        <w:tc>
          <w:tcPr>
            <w:tcW w:type="dxa" w:w="979"/>
            <w:vAlign w:val="center"/>
            <w:shd w:fill="F2F6F8"/>
            <w:tcMar>
              <w:top w:w="95" w:type="dxa"/>
              <w:bottom w:w="95" w:type="dxa"/>
              <w:left w:w="115" w:type="dxa"/>
              <w:right w:w="115" w:type="dxa"/>
            </w:tcMar>
          </w:tcPr>
          <w:p>
            <w:pPr>
              <w:spacing w:after="0" w:line="264" w:lineRule="auto"/>
              <w:jc w:val="center"/>
            </w:pPr>
            <w:r>
              <w:rPr>
                <w:b w:val="0"/>
                <w:sz w:val="19"/>
              </w:rPr>
              <w:t>AC04</w:t>
            </w:r>
          </w:p>
        </w:tc>
        <w:tc>
          <w:tcPr>
            <w:tcW w:type="dxa" w:w="1872"/>
            <w:vAlign w:val="center"/>
            <w:shd w:fill="F2F6F8"/>
            <w:tcMar>
              <w:top w:w="95" w:type="dxa"/>
              <w:bottom w:w="95" w:type="dxa"/>
              <w:left w:w="115" w:type="dxa"/>
              <w:right w:w="115" w:type="dxa"/>
            </w:tcMar>
          </w:tcPr>
          <w:p>
            <w:pPr>
              <w:spacing w:after="0" w:line="264" w:lineRule="auto"/>
            </w:pPr>
            <w:r>
              <w:rPr>
                <w:b w:val="0"/>
                <w:sz w:val="19"/>
              </w:rPr>
              <w:t>决策</w:t>
            </w:r>
          </w:p>
        </w:tc>
        <w:tc>
          <w:tcPr>
            <w:tcW w:type="dxa" w:w="7229"/>
            <w:vAlign w:val="center"/>
            <w:shd w:fill="F2F6F8"/>
            <w:tcMar>
              <w:top w:w="95" w:type="dxa"/>
              <w:bottom w:w="95" w:type="dxa"/>
              <w:left w:w="115" w:type="dxa"/>
              <w:right w:w="115" w:type="dxa"/>
            </w:tcMar>
          </w:tcPr>
          <w:p>
            <w:pPr>
              <w:spacing w:after="0" w:line="264" w:lineRule="auto"/>
            </w:pPr>
            <w:r>
              <w:rPr>
                <w:b w:val="0"/>
                <w:sz w:val="19"/>
              </w:rPr>
              <w:t>单次合格结果立即有框；低分、低分差及缺口均清框，无三次确认</w:t>
            </w:r>
          </w:p>
        </w:tc>
      </w:tr>
      <w:tr>
        <w:trPr>
          <w:cantSplit/>
        </w:trPr>
        <w:tc>
          <w:tcPr>
            <w:tcW w:type="dxa" w:w="979"/>
            <w:vAlign w:val="center"/>
            <w:shd w:fill="FFFFFF"/>
            <w:tcMar>
              <w:top w:w="95" w:type="dxa"/>
              <w:bottom w:w="95" w:type="dxa"/>
              <w:left w:w="115" w:type="dxa"/>
              <w:right w:w="115" w:type="dxa"/>
            </w:tcMar>
          </w:tcPr>
          <w:p>
            <w:pPr>
              <w:spacing w:after="0" w:line="264" w:lineRule="auto"/>
              <w:jc w:val="center"/>
            </w:pPr>
            <w:r>
              <w:rPr>
                <w:b w:val="0"/>
                <w:sz w:val="19"/>
              </w:rPr>
              <w:t>AC05</w:t>
            </w:r>
          </w:p>
        </w:tc>
        <w:tc>
          <w:tcPr>
            <w:tcW w:type="dxa" w:w="1872"/>
            <w:vAlign w:val="center"/>
            <w:shd w:fill="FFFFFF"/>
            <w:tcMar>
              <w:top w:w="95" w:type="dxa"/>
              <w:bottom w:w="95" w:type="dxa"/>
              <w:left w:w="115" w:type="dxa"/>
              <w:right w:w="115" w:type="dxa"/>
            </w:tcMar>
          </w:tcPr>
          <w:p>
            <w:pPr>
              <w:spacing w:after="0" w:line="264" w:lineRule="auto"/>
            </w:pPr>
            <w:r>
              <w:rPr>
                <w:b w:val="0"/>
                <w:sz w:val="19"/>
              </w:rPr>
              <w:t>阻抗与丢样</w:t>
            </w:r>
          </w:p>
        </w:tc>
        <w:tc>
          <w:tcPr>
            <w:tcW w:type="dxa" w:w="7229"/>
            <w:vAlign w:val="center"/>
            <w:shd w:fill="FFFFFF"/>
            <w:tcMar>
              <w:top w:w="95" w:type="dxa"/>
              <w:bottom w:w="95" w:type="dxa"/>
              <w:left w:w="115" w:type="dxa"/>
              <w:right w:w="115" w:type="dxa"/>
            </w:tcMar>
          </w:tcPr>
          <w:p>
            <w:pPr>
              <w:spacing w:after="0" w:line="264" w:lineRule="auto"/>
            </w:pPr>
            <w:r>
              <w:rPr>
                <w:b w:val="0"/>
                <w:sz w:val="19"/>
              </w:rPr>
              <w:t>高、缺失和过期阻抗可开始恢复；注入丢样后连接保持，干净窗口恢复识别</w:t>
            </w:r>
          </w:p>
        </w:tc>
      </w:tr>
      <w:tr>
        <w:trPr>
          <w:cantSplit/>
        </w:trPr>
        <w:tc>
          <w:tcPr>
            <w:tcW w:type="dxa" w:w="979"/>
            <w:vAlign w:val="center"/>
            <w:shd w:fill="F2F6F8"/>
            <w:tcMar>
              <w:top w:w="95" w:type="dxa"/>
              <w:bottom w:w="95" w:type="dxa"/>
              <w:left w:w="115" w:type="dxa"/>
              <w:right w:w="115" w:type="dxa"/>
            </w:tcMar>
          </w:tcPr>
          <w:p>
            <w:pPr>
              <w:spacing w:after="0" w:line="264" w:lineRule="auto"/>
              <w:jc w:val="center"/>
            </w:pPr>
            <w:r>
              <w:rPr>
                <w:b w:val="0"/>
                <w:sz w:val="19"/>
              </w:rPr>
              <w:t>AC06</w:t>
            </w:r>
          </w:p>
        </w:tc>
        <w:tc>
          <w:tcPr>
            <w:tcW w:type="dxa" w:w="1872"/>
            <w:vAlign w:val="center"/>
            <w:shd w:fill="F2F6F8"/>
            <w:tcMar>
              <w:top w:w="95" w:type="dxa"/>
              <w:bottom w:w="95" w:type="dxa"/>
              <w:left w:w="115" w:type="dxa"/>
              <w:right w:w="115" w:type="dxa"/>
            </w:tcMar>
          </w:tcPr>
          <w:p>
            <w:pPr>
              <w:spacing w:after="0" w:line="264" w:lineRule="auto"/>
            </w:pPr>
            <w:r>
              <w:rPr>
                <w:b w:val="0"/>
                <w:sz w:val="19"/>
              </w:rPr>
              <w:t>数据与基线</w:t>
            </w:r>
          </w:p>
        </w:tc>
        <w:tc>
          <w:tcPr>
            <w:tcW w:type="dxa" w:w="7229"/>
            <w:vAlign w:val="center"/>
            <w:shd w:fill="F2F6F8"/>
            <w:tcMar>
              <w:top w:w="95" w:type="dxa"/>
              <w:bottom w:w="95" w:type="dxa"/>
              <w:left w:w="115" w:type="dxa"/>
              <w:right w:w="115" w:type="dxa"/>
            </w:tcMar>
          </w:tcPr>
          <w:p>
            <w:pPr>
              <w:spacing w:after="0" w:line="264" w:lineRule="auto"/>
            </w:pPr>
            <w:r>
              <w:rPr>
                <w:b w:val="0"/>
                <w:sz w:val="19"/>
              </w:rPr>
              <w:t>250/500 Hz 均按实际速率处理；同输入与版本回放一致；原版基线评分不漂移</w:t>
            </w:r>
          </w:p>
        </w:tc>
      </w:tr>
      <w:tr>
        <w:trPr>
          <w:cantSplit/>
        </w:trPr>
        <w:tc>
          <w:tcPr>
            <w:tcW w:type="dxa" w:w="979"/>
            <w:vAlign w:val="center"/>
            <w:shd w:fill="FFFFFF"/>
            <w:tcMar>
              <w:top w:w="95" w:type="dxa"/>
              <w:bottom w:w="95" w:type="dxa"/>
              <w:left w:w="115" w:type="dxa"/>
              <w:right w:w="115" w:type="dxa"/>
            </w:tcMar>
          </w:tcPr>
          <w:p>
            <w:pPr>
              <w:spacing w:after="0" w:line="264" w:lineRule="auto"/>
              <w:jc w:val="center"/>
            </w:pPr>
            <w:r>
              <w:rPr>
                <w:b w:val="0"/>
                <w:sz w:val="19"/>
              </w:rPr>
              <w:t>AC07</w:t>
            </w:r>
          </w:p>
        </w:tc>
        <w:tc>
          <w:tcPr>
            <w:tcW w:type="dxa" w:w="1872"/>
            <w:vAlign w:val="center"/>
            <w:shd w:fill="FFFFFF"/>
            <w:tcMar>
              <w:top w:w="95" w:type="dxa"/>
              <w:bottom w:w="95" w:type="dxa"/>
              <w:left w:w="115" w:type="dxa"/>
              <w:right w:w="115" w:type="dxa"/>
            </w:tcMar>
          </w:tcPr>
          <w:p>
            <w:pPr>
              <w:spacing w:after="0" w:line="264" w:lineRule="auto"/>
            </w:pPr>
            <w:r>
              <w:rPr>
                <w:b w:val="0"/>
                <w:sz w:val="19"/>
              </w:rPr>
              <w:t>标签和报告</w:t>
            </w:r>
          </w:p>
        </w:tc>
        <w:tc>
          <w:tcPr>
            <w:tcW w:type="dxa" w:w="7229"/>
            <w:vAlign w:val="center"/>
            <w:shd w:fill="FFFFFF"/>
            <w:tcMar>
              <w:top w:w="95" w:type="dxa"/>
              <w:bottom w:w="95" w:type="dxa"/>
              <w:left w:w="115" w:type="dxa"/>
              <w:right w:w="115" w:type="dxa"/>
            </w:tcMar>
          </w:tcPr>
          <w:p>
            <w:pPr>
              <w:spacing w:after="0" w:line="264" w:lineRule="auto"/>
            </w:pPr>
            <w:r>
              <w:rPr>
                <w:b w:val="0"/>
                <w:sz w:val="19"/>
              </w:rPr>
              <w:t>目标与无意图标记完整；无标签不显示正确率；首个误选不能被后续正确覆盖</w:t>
            </w:r>
          </w:p>
        </w:tc>
      </w:tr>
      <w:tr>
        <w:trPr>
          <w:cantSplit/>
        </w:trPr>
        <w:tc>
          <w:tcPr>
            <w:tcW w:type="dxa" w:w="979"/>
            <w:vAlign w:val="center"/>
            <w:shd w:fill="F2F6F8"/>
            <w:tcMar>
              <w:top w:w="95" w:type="dxa"/>
              <w:bottom w:w="95" w:type="dxa"/>
              <w:left w:w="115" w:type="dxa"/>
              <w:right w:w="115" w:type="dxa"/>
            </w:tcMar>
          </w:tcPr>
          <w:p>
            <w:pPr>
              <w:spacing w:after="0" w:line="264" w:lineRule="auto"/>
              <w:jc w:val="center"/>
            </w:pPr>
            <w:r>
              <w:rPr>
                <w:b w:val="0"/>
                <w:sz w:val="19"/>
              </w:rPr>
              <w:t>AC08</w:t>
            </w:r>
          </w:p>
        </w:tc>
        <w:tc>
          <w:tcPr>
            <w:tcW w:type="dxa" w:w="1872"/>
            <w:vAlign w:val="center"/>
            <w:shd w:fill="F2F6F8"/>
            <w:tcMar>
              <w:top w:w="95" w:type="dxa"/>
              <w:bottom w:w="95" w:type="dxa"/>
              <w:left w:w="115" w:type="dxa"/>
              <w:right w:w="115" w:type="dxa"/>
            </w:tcMar>
          </w:tcPr>
          <w:p>
            <w:pPr>
              <w:spacing w:after="0" w:line="264" w:lineRule="auto"/>
            </w:pPr>
            <w:r>
              <w:rPr>
                <w:b w:val="0"/>
                <w:sz w:val="19"/>
              </w:rPr>
              <w:t>窗口与性能</w:t>
            </w:r>
          </w:p>
        </w:tc>
        <w:tc>
          <w:tcPr>
            <w:tcW w:type="dxa" w:w="7229"/>
            <w:vAlign w:val="center"/>
            <w:shd w:fill="F2F6F8"/>
            <w:tcMar>
              <w:top w:w="95" w:type="dxa"/>
              <w:bottom w:w="95" w:type="dxa"/>
              <w:left w:w="115" w:type="dxa"/>
              <w:right w:w="115" w:type="dxa"/>
            </w:tcMar>
          </w:tcPr>
          <w:p>
            <w:pPr>
              <w:spacing w:after="0" w:line="264" w:lineRule="auto"/>
            </w:pPr>
            <w:r>
              <w:rPr>
                <w:b w:val="0"/>
                <w:sz w:val="19"/>
              </w:rPr>
              <w:t>启动标题与主操作可见，缩放无裁切；诊断与记录开启时能量化呈现和计算开销</w:t>
            </w:r>
          </w:p>
        </w:tc>
      </w:tr>
      <w:tr>
        <w:trPr>
          <w:cantSplit/>
        </w:trPr>
        <w:tc>
          <w:tcPr>
            <w:tcW w:type="dxa" w:w="979"/>
            <w:vAlign w:val="center"/>
            <w:shd w:fill="FFFFFF"/>
            <w:tcMar>
              <w:top w:w="95" w:type="dxa"/>
              <w:bottom w:w="95" w:type="dxa"/>
              <w:left w:w="115" w:type="dxa"/>
              <w:right w:w="115" w:type="dxa"/>
            </w:tcMar>
          </w:tcPr>
          <w:p>
            <w:pPr>
              <w:spacing w:after="0" w:line="264" w:lineRule="auto"/>
              <w:jc w:val="center"/>
            </w:pPr>
            <w:r>
              <w:rPr>
                <w:b w:val="0"/>
                <w:sz w:val="19"/>
              </w:rPr>
              <w:t>AC09</w:t>
            </w:r>
          </w:p>
        </w:tc>
        <w:tc>
          <w:tcPr>
            <w:tcW w:type="dxa" w:w="1872"/>
            <w:vAlign w:val="center"/>
            <w:shd w:fill="FFFFFF"/>
            <w:tcMar>
              <w:top w:w="95" w:type="dxa"/>
              <w:bottom w:w="95" w:type="dxa"/>
              <w:left w:w="115" w:type="dxa"/>
              <w:right w:w="115" w:type="dxa"/>
            </w:tcMar>
          </w:tcPr>
          <w:p>
            <w:pPr>
              <w:spacing w:after="0" w:line="264" w:lineRule="auto"/>
            </w:pPr>
            <w:r>
              <w:rPr>
                <w:b w:val="0"/>
                <w:sz w:val="19"/>
              </w:rPr>
              <w:t>故障与导出</w:t>
            </w:r>
          </w:p>
        </w:tc>
        <w:tc>
          <w:tcPr>
            <w:tcW w:type="dxa" w:w="7229"/>
            <w:vAlign w:val="center"/>
            <w:shd w:fill="FFFFFF"/>
            <w:tcMar>
              <w:top w:w="95" w:type="dxa"/>
              <w:bottom w:w="95" w:type="dxa"/>
              <w:left w:w="115" w:type="dxa"/>
              <w:right w:w="115" w:type="dxa"/>
            </w:tcMar>
          </w:tcPr>
          <w:p>
            <w:pPr>
              <w:spacing w:after="0" w:line="264" w:lineRule="auto"/>
            </w:pPr>
            <w:r>
              <w:rPr>
                <w:b w:val="0"/>
                <w:sz w:val="19"/>
              </w:rPr>
              <w:t>记录失败标记不完整；报告可追到参数和会话；导出默认移除设备地址等标识</w:t>
            </w:r>
          </w:p>
        </w:tc>
      </w:tr>
      <w:tr>
        <w:trPr>
          <w:cantSplit/>
        </w:trPr>
        <w:tc>
          <w:tcPr>
            <w:tcW w:type="dxa" w:w="979"/>
            <w:vAlign w:val="center"/>
            <w:shd w:fill="F2F6F8"/>
            <w:tcMar>
              <w:top w:w="95" w:type="dxa"/>
              <w:bottom w:w="95" w:type="dxa"/>
              <w:left w:w="115" w:type="dxa"/>
              <w:right w:w="115" w:type="dxa"/>
            </w:tcMar>
          </w:tcPr>
          <w:p>
            <w:pPr>
              <w:spacing w:after="0" w:line="264" w:lineRule="auto"/>
              <w:jc w:val="center"/>
            </w:pPr>
            <w:r>
              <w:rPr>
                <w:b w:val="0"/>
                <w:sz w:val="19"/>
              </w:rPr>
              <w:t>AC10</w:t>
            </w:r>
          </w:p>
        </w:tc>
        <w:tc>
          <w:tcPr>
            <w:tcW w:type="dxa" w:w="1872"/>
            <w:vAlign w:val="center"/>
            <w:shd w:fill="F2F6F8"/>
            <w:tcMar>
              <w:top w:w="95" w:type="dxa"/>
              <w:bottom w:w="95" w:type="dxa"/>
              <w:left w:w="115" w:type="dxa"/>
              <w:right w:w="115" w:type="dxa"/>
            </w:tcMar>
          </w:tcPr>
          <w:p>
            <w:pPr>
              <w:spacing w:after="0" w:line="264" w:lineRule="auto"/>
            </w:pPr>
            <w:r>
              <w:rPr>
                <w:b w:val="0"/>
                <w:sz w:val="19"/>
              </w:rPr>
              <w:t>样本调度</w:t>
            </w:r>
          </w:p>
        </w:tc>
        <w:tc>
          <w:tcPr>
            <w:tcW w:type="dxa" w:w="7229"/>
            <w:vAlign w:val="center"/>
            <w:shd w:fill="F2F6F8"/>
            <w:tcMar>
              <w:top w:w="95" w:type="dxa"/>
              <w:bottom w:w="95" w:type="dxa"/>
              <w:left w:w="115" w:type="dxa"/>
              <w:right w:w="115" w:type="dxa"/>
            </w:tcMar>
          </w:tcPr>
          <w:p>
            <w:pPr>
              <w:spacing w:after="0" w:line="264" w:lineRule="auto"/>
            </w:pPr>
            <w:r>
              <w:rPr>
                <w:b w:val="0"/>
                <w:sz w:val="19"/>
              </w:rPr>
              <w:t>改变批次分包和 UI 刷新负载后，正常区间在线与回放窗口索引一致；缺口重置可重现</w:t>
            </w:r>
          </w:p>
        </w:tc>
      </w:tr>
      <w:tr>
        <w:trPr>
          <w:cantSplit/>
        </w:trPr>
        <w:tc>
          <w:tcPr>
            <w:tcW w:type="dxa" w:w="979"/>
            <w:vAlign w:val="center"/>
            <w:shd w:fill="FFFFFF"/>
            <w:tcMar>
              <w:top w:w="95" w:type="dxa"/>
              <w:bottom w:w="95" w:type="dxa"/>
              <w:left w:w="115" w:type="dxa"/>
              <w:right w:w="115" w:type="dxa"/>
            </w:tcMar>
          </w:tcPr>
          <w:p>
            <w:pPr>
              <w:spacing w:after="0" w:line="264" w:lineRule="auto"/>
              <w:jc w:val="center"/>
            </w:pPr>
            <w:r>
              <w:rPr>
                <w:b w:val="0"/>
                <w:sz w:val="19"/>
              </w:rPr>
              <w:t>AC11</w:t>
            </w:r>
          </w:p>
        </w:tc>
        <w:tc>
          <w:tcPr>
            <w:tcW w:type="dxa" w:w="1872"/>
            <w:vAlign w:val="center"/>
            <w:shd w:fill="FFFFFF"/>
            <w:tcMar>
              <w:top w:w="95" w:type="dxa"/>
              <w:bottom w:w="95" w:type="dxa"/>
              <w:left w:w="115" w:type="dxa"/>
              <w:right w:w="115" w:type="dxa"/>
            </w:tcMar>
          </w:tcPr>
          <w:p>
            <w:pPr>
              <w:spacing w:after="0" w:line="264" w:lineRule="auto"/>
            </w:pPr>
            <w:r>
              <w:rPr>
                <w:b w:val="0"/>
                <w:sz w:val="19"/>
              </w:rPr>
              <w:t>时钟映射</w:t>
            </w:r>
          </w:p>
        </w:tc>
        <w:tc>
          <w:tcPr>
            <w:tcW w:type="dxa" w:w="7229"/>
            <w:vAlign w:val="center"/>
            <w:shd w:fill="FFFFFF"/>
            <w:tcMar>
              <w:top w:w="95" w:type="dxa"/>
              <w:bottom w:w="95" w:type="dxa"/>
              <w:left w:w="115" w:type="dxa"/>
              <w:right w:w="115" w:type="dxa"/>
            </w:tcMar>
          </w:tcPr>
          <w:p>
            <w:pPr>
              <w:spacing w:after="0" w:line="264" w:lineRule="auto"/>
            </w:pPr>
            <w:r>
              <w:rPr>
                <w:b w:val="0"/>
                <w:sz w:val="19"/>
              </w:rPr>
              <w:t>注入偏移、漂移、接收抖动、批量突发及计数重置，报告估计误差与残差；因果回放使用当时模型</w:t>
            </w:r>
          </w:p>
        </w:tc>
      </w:tr>
      <w:tr>
        <w:trPr>
          <w:cantSplit/>
        </w:trPr>
        <w:tc>
          <w:tcPr>
            <w:tcW w:type="dxa" w:w="979"/>
            <w:vAlign w:val="center"/>
            <w:shd w:fill="F2F6F8"/>
            <w:tcMar>
              <w:top w:w="95" w:type="dxa"/>
              <w:bottom w:w="95" w:type="dxa"/>
              <w:left w:w="115" w:type="dxa"/>
              <w:right w:w="115" w:type="dxa"/>
            </w:tcMar>
          </w:tcPr>
          <w:p>
            <w:pPr>
              <w:spacing w:after="0" w:line="264" w:lineRule="auto"/>
              <w:jc w:val="center"/>
            </w:pPr>
            <w:r>
              <w:rPr>
                <w:b w:val="0"/>
                <w:sz w:val="19"/>
              </w:rPr>
              <w:t>AC12</w:t>
            </w:r>
          </w:p>
        </w:tc>
        <w:tc>
          <w:tcPr>
            <w:tcW w:type="dxa" w:w="1872"/>
            <w:vAlign w:val="center"/>
            <w:shd w:fill="F2F6F8"/>
            <w:tcMar>
              <w:top w:w="95" w:type="dxa"/>
              <w:bottom w:w="95" w:type="dxa"/>
              <w:left w:w="115" w:type="dxa"/>
              <w:right w:w="115" w:type="dxa"/>
            </w:tcMar>
          </w:tcPr>
          <w:p>
            <w:pPr>
              <w:spacing w:after="0" w:line="264" w:lineRule="auto"/>
            </w:pPr>
            <w:r>
              <w:rPr>
                <w:b w:val="0"/>
                <w:sz w:val="19"/>
              </w:rPr>
              <w:t>规范哈希</w:t>
            </w:r>
          </w:p>
        </w:tc>
        <w:tc>
          <w:tcPr>
            <w:tcW w:type="dxa" w:w="7229"/>
            <w:vAlign w:val="center"/>
            <w:shd w:fill="F2F6F8"/>
            <w:tcMar>
              <w:top w:w="95" w:type="dxa"/>
              <w:bottom w:w="95" w:type="dxa"/>
              <w:left w:w="115" w:type="dxa"/>
              <w:right w:w="115" w:type="dxa"/>
            </w:tcMar>
          </w:tcPr>
          <w:p>
            <w:pPr>
              <w:spacing w:after="0" w:line="264" w:lineRule="auto"/>
            </w:pPr>
            <w:r>
              <w:rPr>
                <w:b w:val="0"/>
                <w:sz w:val="19"/>
              </w:rPr>
              <w:t>C# 与 Python 使用相同测试向量得到同一哈希；字段顺序、空白和等值浮点写法不影响结果</w:t>
            </w:r>
          </w:p>
        </w:tc>
      </w:tr>
      <w:tr>
        <w:trPr>
          <w:cantSplit/>
        </w:trPr>
        <w:tc>
          <w:tcPr>
            <w:tcW w:type="dxa" w:w="979"/>
            <w:vAlign w:val="center"/>
            <w:shd w:fill="FFFFFF"/>
            <w:tcMar>
              <w:top w:w="95" w:type="dxa"/>
              <w:bottom w:w="95" w:type="dxa"/>
              <w:left w:w="115" w:type="dxa"/>
              <w:right w:w="115" w:type="dxa"/>
            </w:tcMar>
          </w:tcPr>
          <w:p>
            <w:pPr>
              <w:spacing w:after="0" w:line="264" w:lineRule="auto"/>
              <w:jc w:val="center"/>
            </w:pPr>
            <w:r>
              <w:rPr>
                <w:b w:val="0"/>
                <w:sz w:val="19"/>
              </w:rPr>
              <w:t>AC13</w:t>
            </w:r>
          </w:p>
        </w:tc>
        <w:tc>
          <w:tcPr>
            <w:tcW w:type="dxa" w:w="1872"/>
            <w:vAlign w:val="center"/>
            <w:shd w:fill="FFFFFF"/>
            <w:tcMar>
              <w:top w:w="95" w:type="dxa"/>
              <w:bottom w:w="95" w:type="dxa"/>
              <w:left w:w="115" w:type="dxa"/>
              <w:right w:w="115" w:type="dxa"/>
            </w:tcMar>
          </w:tcPr>
          <w:p>
            <w:pPr>
              <w:spacing w:after="0" w:line="264" w:lineRule="auto"/>
            </w:pPr>
            <w:r>
              <w:rPr>
                <w:b w:val="0"/>
                <w:sz w:val="19"/>
              </w:rPr>
              <w:t>健康与启动回退</w:t>
            </w:r>
          </w:p>
        </w:tc>
        <w:tc>
          <w:tcPr>
            <w:tcW w:type="dxa" w:w="7229"/>
            <w:vAlign w:val="center"/>
            <w:shd w:fill="FFFFFF"/>
            <w:tcMar>
              <w:top w:w="95" w:type="dxa"/>
              <w:bottom w:w="95" w:type="dxa"/>
              <w:left w:w="115" w:type="dxa"/>
              <w:right w:w="115" w:type="dxa"/>
            </w:tcMar>
          </w:tcPr>
          <w:p>
            <w:pPr>
              <w:spacing w:after="0" w:line="264" w:lineRule="auto"/>
            </w:pPr>
            <w:r>
              <w:rPr>
                <w:b w:val="0"/>
                <w:sz w:val="19"/>
              </w:rPr>
              <w:t>三类采集故障分开呈现；检查或目录失败后仍可编辑与重试，无虚假成功会话</w:t>
            </w:r>
          </w:p>
        </w:tc>
      </w:tr>
      <w:tr>
        <w:trPr>
          <w:cantSplit/>
        </w:trPr>
        <w:tc>
          <w:tcPr>
            <w:tcW w:type="dxa" w:w="979"/>
            <w:vAlign w:val="center"/>
            <w:shd w:fill="F2F6F8"/>
            <w:tcMar>
              <w:top w:w="95" w:type="dxa"/>
              <w:bottom w:w="95" w:type="dxa"/>
              <w:left w:w="115" w:type="dxa"/>
              <w:right w:w="115" w:type="dxa"/>
            </w:tcMar>
          </w:tcPr>
          <w:p>
            <w:pPr>
              <w:spacing w:after="0" w:line="264" w:lineRule="auto"/>
              <w:jc w:val="center"/>
            </w:pPr>
            <w:r>
              <w:rPr>
                <w:b w:val="0"/>
                <w:sz w:val="19"/>
              </w:rPr>
              <w:t>AC14</w:t>
            </w:r>
          </w:p>
        </w:tc>
        <w:tc>
          <w:tcPr>
            <w:tcW w:type="dxa" w:w="1872"/>
            <w:vAlign w:val="center"/>
            <w:shd w:fill="F2F6F8"/>
            <w:tcMar>
              <w:top w:w="95" w:type="dxa"/>
              <w:bottom w:w="95" w:type="dxa"/>
              <w:left w:w="115" w:type="dxa"/>
              <w:right w:w="115" w:type="dxa"/>
            </w:tcMar>
          </w:tcPr>
          <w:p>
            <w:pPr>
              <w:spacing w:after="0" w:line="264" w:lineRule="auto"/>
            </w:pPr>
            <w:r>
              <w:rPr>
                <w:b w:val="0"/>
                <w:sz w:val="19"/>
              </w:rPr>
              <w:t>二进制与 MNE 导出</w:t>
            </w:r>
          </w:p>
        </w:tc>
        <w:tc>
          <w:tcPr>
            <w:tcW w:type="dxa" w:w="7229"/>
            <w:vAlign w:val="center"/>
            <w:shd w:fill="F2F6F8"/>
            <w:tcMar>
              <w:top w:w="95" w:type="dxa"/>
              <w:bottom w:w="95" w:type="dxa"/>
              <w:left w:w="115" w:type="dxa"/>
              <w:right w:w="115" w:type="dxa"/>
            </w:tcMar>
          </w:tcPr>
          <w:p>
            <w:pPr>
              <w:spacing w:after="0" w:line="264" w:lineRule="auto"/>
            </w:pPr>
            <w:r>
              <w:rPr>
                <w:b w:val="0"/>
                <w:sz w:val="19"/>
              </w:rPr>
              <w:t>二进制读回样本与标记一致；可恢复完整块；MNE 读回 BrainVision 的单位、样本数和事件正确</w:t>
            </w:r>
          </w:p>
        </w:tc>
      </w:tr>
    </w:tbl>
    <w:p>
      <w:pPr>
        <w:spacing w:after="40"/>
      </w:pPr>
    </w:p>
    <w:p>
      <w:r>
        <w:rPr>
          <w:b w:val="0"/>
        </w:rPr>
        <w:t>界面验收覆盖 1366×768 与 1920×1080，以及 100%、125%、150% 缩放；小工作区使用滚动，避免以超出屏幕的最小高度裁切顶栏。性能在约定测试机记录 CPU、显示器、刷新设置及设备配置；连续运行三十分钟无任务积压或未处理异常。初步目标为诊断开启后绘制 FPS 中位数下降不超过 5%，帧间隔 P95 增量不超过 2 毫秒；需在 P1 固定测试条件后复核。</w:t>
      </w:r>
    </w:p>
    <w:p>
      <w:pPr>
        <w:pStyle w:val="Heading2"/>
      </w:pPr>
      <w:r>
        <w:t>8.2 真人性能目标</w:t>
      </w:r>
    </w:p>
    <w:p>
      <w:r>
        <w:rPr>
          <w:b w:val="0"/>
        </w:rPr>
        <w:t>以下为首轮研发目标，不作为已经达到的结论。一次验收至少包含六目标各十个独立试次和十分钟无意图数据，另做连续目标切换测试，报告参与者代号、条件、有效数量和区间估计。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6048"/>
        <w:gridCol w:w="2160"/>
      </w:tblGrid>
      <w:tr>
        <w:trPr>
          <w:cantSplit/>
          <w:tblHeader/>
        </w:trPr>
        <w:tc>
          <w:tcPr>
            <w:tcW w:type="dxa" w:w="1872"/>
            <w:vAlign w:val="center"/>
            <w:shd w:fill="173C51"/>
            <w:tcMar>
              <w:top w:w="95" w:type="dxa"/>
              <w:bottom w:w="95" w:type="dxa"/>
              <w:left w:w="115" w:type="dxa"/>
              <w:right w:w="115" w:type="dxa"/>
            </w:tcMar>
          </w:tcPr>
          <w:p>
            <w:pPr>
              <w:spacing w:after="0" w:line="264" w:lineRule="auto"/>
              <w:jc w:val="center"/>
            </w:pPr>
            <w:r>
              <w:rPr>
                <w:b/>
                <w:color w:val="FFFFFF"/>
                <w:sz w:val="19"/>
              </w:rPr>
              <w:t>指标</w:t>
            </w:r>
          </w:p>
        </w:tc>
        <w:tc>
          <w:tcPr>
            <w:tcW w:type="dxa" w:w="6048"/>
            <w:vAlign w:val="center"/>
            <w:shd w:fill="173C51"/>
            <w:tcMar>
              <w:top w:w="95" w:type="dxa"/>
              <w:bottom w:w="95" w:type="dxa"/>
              <w:left w:w="115" w:type="dxa"/>
              <w:right w:w="115" w:type="dxa"/>
            </w:tcMar>
          </w:tcPr>
          <w:p>
            <w:pPr>
              <w:spacing w:after="0" w:line="264" w:lineRule="auto"/>
            </w:pPr>
            <w:r>
              <w:rPr>
                <w:b/>
                <w:color w:val="FFFFFF"/>
                <w:sz w:val="19"/>
              </w:rPr>
              <w:t>计算口径</w:t>
            </w:r>
          </w:p>
        </w:tc>
        <w:tc>
          <w:tcPr>
            <w:tcW w:type="dxa" w:w="2160"/>
            <w:vAlign w:val="center"/>
            <w:shd w:fill="173C51"/>
            <w:tcMar>
              <w:top w:w="95" w:type="dxa"/>
              <w:bottom w:w="95" w:type="dxa"/>
              <w:left w:w="115" w:type="dxa"/>
              <w:right w:w="115" w:type="dxa"/>
            </w:tcMar>
          </w:tcPr>
          <w:p>
            <w:pPr>
              <w:spacing w:after="0" w:line="264" w:lineRule="auto"/>
            </w:pPr>
            <w:r>
              <w:rPr>
                <w:b/>
                <w:color w:val="FFFFFF"/>
                <w:sz w:val="19"/>
              </w:rPr>
              <w:t>初始目标</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接受结果正确率</w:t>
            </w:r>
          </w:p>
        </w:tc>
        <w:tc>
          <w:tcPr>
            <w:tcW w:type="dxa" w:w="6048"/>
            <w:vAlign w:val="center"/>
            <w:shd w:fill="FFFFFF"/>
            <w:tcMar>
              <w:top w:w="95" w:type="dxa"/>
              <w:bottom w:w="95" w:type="dxa"/>
              <w:left w:w="115" w:type="dxa"/>
              <w:right w:w="115" w:type="dxa"/>
            </w:tcMar>
          </w:tcPr>
          <w:p>
            <w:pPr>
              <w:spacing w:after="0" w:line="264" w:lineRule="auto"/>
            </w:pPr>
            <w:r>
              <w:rPr>
                <w:b w:val="0"/>
                <w:sz w:val="19"/>
              </w:rPr>
              <w:t>正确首个接受结果的目标试次 / 有接受结果的目标试次</w:t>
            </w:r>
          </w:p>
        </w:tc>
        <w:tc>
          <w:tcPr>
            <w:tcW w:type="dxa" w:w="2160"/>
            <w:vAlign w:val="center"/>
            <w:shd w:fill="FFFFFF"/>
            <w:tcMar>
              <w:top w:w="95" w:type="dxa"/>
              <w:bottom w:w="95" w:type="dxa"/>
              <w:left w:w="115" w:type="dxa"/>
              <w:right w:w="115" w:type="dxa"/>
            </w:tcMar>
          </w:tcPr>
          <w:p>
            <w:pPr>
              <w:spacing w:after="0" w:line="264" w:lineRule="auto"/>
            </w:pPr>
            <w:r>
              <w:rPr>
                <w:b w:val="0"/>
                <w:sz w:val="19"/>
              </w:rPr>
              <w:t>不低于 95%</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决策覆盖率</w:t>
            </w:r>
          </w:p>
        </w:tc>
        <w:tc>
          <w:tcPr>
            <w:tcW w:type="dxa" w:w="6048"/>
            <w:vAlign w:val="center"/>
            <w:shd w:fill="F2F6F8"/>
            <w:tcMar>
              <w:top w:w="95" w:type="dxa"/>
              <w:bottom w:w="95" w:type="dxa"/>
              <w:left w:w="115" w:type="dxa"/>
              <w:right w:w="115" w:type="dxa"/>
            </w:tcMar>
          </w:tcPr>
          <w:p>
            <w:pPr>
              <w:spacing w:after="0" w:line="264" w:lineRule="auto"/>
            </w:pPr>
            <w:r>
              <w:rPr>
                <w:b w:val="0"/>
                <w:sz w:val="19"/>
              </w:rPr>
              <w:t>四秒时限内有接受结果的目标试次 / 有效目标试次</w:t>
            </w:r>
          </w:p>
        </w:tc>
        <w:tc>
          <w:tcPr>
            <w:tcW w:type="dxa" w:w="2160"/>
            <w:vAlign w:val="center"/>
            <w:shd w:fill="F2F6F8"/>
            <w:tcMar>
              <w:top w:w="95" w:type="dxa"/>
              <w:bottom w:w="95" w:type="dxa"/>
              <w:left w:w="115" w:type="dxa"/>
              <w:right w:w="115" w:type="dxa"/>
            </w:tcMar>
          </w:tcPr>
          <w:p>
            <w:pPr>
              <w:spacing w:after="0" w:line="264" w:lineRule="auto"/>
            </w:pPr>
            <w:r>
              <w:rPr>
                <w:b w:val="0"/>
                <w:sz w:val="19"/>
              </w:rPr>
              <w:t>不低于 80%</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无意图误触发</w:t>
            </w:r>
          </w:p>
        </w:tc>
        <w:tc>
          <w:tcPr>
            <w:tcW w:type="dxa" w:w="6048"/>
            <w:vAlign w:val="center"/>
            <w:shd w:fill="FFFFFF"/>
            <w:tcMar>
              <w:top w:w="95" w:type="dxa"/>
              <w:bottom w:w="95" w:type="dxa"/>
              <w:left w:w="115" w:type="dxa"/>
              <w:right w:w="115" w:type="dxa"/>
            </w:tcMar>
          </w:tcPr>
          <w:p>
            <w:pPr>
              <w:spacing w:after="0" w:line="264" w:lineRule="auto"/>
            </w:pPr>
            <w:r>
              <w:rPr>
                <w:b w:val="0"/>
                <w:sz w:val="19"/>
              </w:rPr>
              <w:t>无框变为有框或选中目标变化的事件数 / 无意图分钟数</w:t>
            </w:r>
          </w:p>
        </w:tc>
        <w:tc>
          <w:tcPr>
            <w:tcW w:type="dxa" w:w="2160"/>
            <w:vAlign w:val="center"/>
            <w:shd w:fill="FFFFFF"/>
            <w:tcMar>
              <w:top w:w="95" w:type="dxa"/>
              <w:bottom w:w="95" w:type="dxa"/>
              <w:left w:w="115" w:type="dxa"/>
              <w:right w:w="115" w:type="dxa"/>
            </w:tcMar>
          </w:tcPr>
          <w:p>
            <w:pPr>
              <w:spacing w:after="0" w:line="264" w:lineRule="auto"/>
            </w:pPr>
            <w:r>
              <w:rPr>
                <w:b w:val="0"/>
                <w:sz w:val="19"/>
              </w:rPr>
              <w:t>不高于 0.2 次每分钟</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错误显示时长</w:t>
            </w:r>
          </w:p>
        </w:tc>
        <w:tc>
          <w:tcPr>
            <w:tcW w:type="dxa" w:w="6048"/>
            <w:vAlign w:val="center"/>
            <w:shd w:fill="F2F6F8"/>
            <w:tcMar>
              <w:top w:w="95" w:type="dxa"/>
              <w:bottom w:w="95" w:type="dxa"/>
              <w:left w:w="115" w:type="dxa"/>
              <w:right w:w="115" w:type="dxa"/>
            </w:tcMar>
          </w:tcPr>
          <w:p>
            <w:pPr>
              <w:spacing w:after="0" w:line="264" w:lineRule="auto"/>
            </w:pPr>
            <w:r>
              <w:rPr>
                <w:b w:val="0"/>
                <w:sz w:val="19"/>
              </w:rPr>
              <w:t>无意图区间内有框时长占比及最长持续时间</w:t>
            </w:r>
          </w:p>
        </w:tc>
        <w:tc>
          <w:tcPr>
            <w:tcW w:type="dxa" w:w="2160"/>
            <w:vAlign w:val="center"/>
            <w:shd w:fill="F2F6F8"/>
            <w:tcMar>
              <w:top w:w="95" w:type="dxa"/>
              <w:bottom w:w="95" w:type="dxa"/>
              <w:left w:w="115" w:type="dxa"/>
              <w:right w:w="115" w:type="dxa"/>
            </w:tcMar>
          </w:tcPr>
          <w:p>
            <w:pPr>
              <w:spacing w:after="0" w:line="264" w:lineRule="auto"/>
            </w:pPr>
            <w:r>
              <w:rPr>
                <w:b w:val="0"/>
                <w:sz w:val="19"/>
              </w:rPr>
              <w:t>必须报告，初期不设硬阈值</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正确决策延迟</w:t>
            </w:r>
          </w:p>
        </w:tc>
        <w:tc>
          <w:tcPr>
            <w:tcW w:type="dxa" w:w="6048"/>
            <w:vAlign w:val="center"/>
            <w:shd w:fill="FFFFFF"/>
            <w:tcMar>
              <w:top w:w="95" w:type="dxa"/>
              <w:bottom w:w="95" w:type="dxa"/>
              <w:left w:w="115" w:type="dxa"/>
              <w:right w:w="115" w:type="dxa"/>
            </w:tcMar>
          </w:tcPr>
          <w:p>
            <w:pPr>
              <w:spacing w:after="0" w:line="264" w:lineRule="auto"/>
            </w:pPr>
            <w:r>
              <w:rPr>
                <w:b w:val="0"/>
                <w:sz w:val="19"/>
              </w:rPr>
              <w:t>指令实际呈现到首个接受结果，仅统计首选正确试次；另列错误及超时</w:t>
            </w:r>
          </w:p>
        </w:tc>
        <w:tc>
          <w:tcPr>
            <w:tcW w:type="dxa" w:w="2160"/>
            <w:vAlign w:val="center"/>
            <w:shd w:fill="FFFFFF"/>
            <w:tcMar>
              <w:top w:w="95" w:type="dxa"/>
              <w:bottom w:w="95" w:type="dxa"/>
              <w:left w:w="115" w:type="dxa"/>
              <w:right w:w="115" w:type="dxa"/>
            </w:tcMar>
          </w:tcPr>
          <w:p>
            <w:pPr>
              <w:spacing w:after="0" w:line="264" w:lineRule="auto"/>
            </w:pPr>
            <w:r>
              <w:rPr>
                <w:b w:val="0"/>
                <w:sz w:val="19"/>
              </w:rPr>
              <w:t>中位数不高于三秒，报告 P95</w:t>
            </w:r>
          </w:p>
        </w:tc>
      </w:tr>
    </w:tbl>
    <w:p>
      <w:pPr>
        <w:spacing w:after="40"/>
      </w:pPr>
    </w:p>
    <w:p>
      <w:r>
        <w:rPr>
          <w:b w:val="0"/>
        </w:rPr>
        <w:t>首个接受结果一旦错误，该试次计为错误，后续改正不能改写结果。连续保持同一框不按每个窗口重复计误触发；无意图区间开始时已存在的框计一次继承误触发，并单列其数量与显示时长。误触发率分母只包含刺激正常运行且按预定质量规则可评估的无意图时长；总采集时长及因中断排除的时长同时报告，不用大量暂停稀释误触发率。</w:t>
      </w:r>
    </w:p>
    <w:p>
      <w:r>
        <w:rPr>
          <w:b w:val="0"/>
        </w:rPr>
        <w:t>提示式采集与连续运行分开报告；不得依据真值在每次切换时清空在线窗口以提高连续测试结果。样本不足或区间过宽时，只描述本次观察结果，不外推为所有人群或设备的性能保证。</w:t>
      </w:r>
    </w:p>
    <w:p>
      <w:r>
        <w:rPr>
          <w:b w:val="0"/>
        </w:rPr>
        <w:t>提示标签同时保留预计呈现时刻、绘制回调与主机时刻，并关联样本时钟模型。接收时间回归能改善抖动与漂移估计，但固定传输和显示延迟仍需外部校准；未校准时将标签与延迟标为软件估计，不宣称达到 TRCA/eCCA 所需的相位同步精度。MNE 可读取导出数据不等于锁时精度已经验证。</w:t>
      </w:r>
    </w:p>
    <w:p>
      <w:r>
        <w:rPr>
          <w:b w:val="0"/>
        </w:rPr>
        <w:t>在线验收还需分列算法判决完成时延和选中框绘制时延。无意图的实际显示事件与错误框时长以绘制回执为准，同时列出算法判决事件，避免 UI 卡顿把“已判决”误写为“已显示”。</w:t>
      </w:r>
    </w:p>
    <w:p>
      <w:pPr>
        <w:pStyle w:val="Heading1"/>
      </w:pPr>
      <w:r>
        <w:t>9 交付与优先级</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52"/>
        <w:gridCol w:w="4032"/>
        <w:gridCol w:w="3312"/>
        <w:gridCol w:w="1584"/>
      </w:tblGrid>
      <w:tr>
        <w:trPr>
          <w:cantSplit/>
          <w:tblHeader/>
        </w:trPr>
        <w:tc>
          <w:tcPr>
            <w:tcW w:type="dxa" w:w="1152"/>
            <w:vAlign w:val="center"/>
            <w:shd w:fill="173C51"/>
            <w:tcMar>
              <w:top w:w="95" w:type="dxa"/>
              <w:bottom w:w="95" w:type="dxa"/>
              <w:left w:w="115" w:type="dxa"/>
              <w:right w:w="115" w:type="dxa"/>
            </w:tcMar>
          </w:tcPr>
          <w:p>
            <w:pPr>
              <w:spacing w:after="0" w:line="264" w:lineRule="auto"/>
              <w:jc w:val="center"/>
            </w:pPr>
            <w:r>
              <w:rPr>
                <w:b/>
                <w:color w:val="FFFFFF"/>
                <w:sz w:val="19"/>
              </w:rPr>
              <w:t>阶段</w:t>
            </w:r>
          </w:p>
        </w:tc>
        <w:tc>
          <w:tcPr>
            <w:tcW w:type="dxa" w:w="4032"/>
            <w:vAlign w:val="center"/>
            <w:shd w:fill="173C51"/>
            <w:tcMar>
              <w:top w:w="95" w:type="dxa"/>
              <w:bottom w:w="95" w:type="dxa"/>
              <w:left w:w="115" w:type="dxa"/>
              <w:right w:w="115" w:type="dxa"/>
            </w:tcMar>
          </w:tcPr>
          <w:p>
            <w:pPr>
              <w:spacing w:after="0" w:line="264" w:lineRule="auto"/>
            </w:pPr>
            <w:r>
              <w:rPr>
                <w:b/>
                <w:color w:val="FFFFFF"/>
                <w:sz w:val="19"/>
              </w:rPr>
              <w:t>主要交付</w:t>
            </w:r>
          </w:p>
        </w:tc>
        <w:tc>
          <w:tcPr>
            <w:tcW w:type="dxa" w:w="3312"/>
            <w:vAlign w:val="center"/>
            <w:shd w:fill="173C51"/>
            <w:tcMar>
              <w:top w:w="95" w:type="dxa"/>
              <w:bottom w:w="95" w:type="dxa"/>
              <w:left w:w="115" w:type="dxa"/>
              <w:right w:w="115" w:type="dxa"/>
            </w:tcMar>
          </w:tcPr>
          <w:p>
            <w:pPr>
              <w:spacing w:after="0" w:line="264" w:lineRule="auto"/>
            </w:pPr>
            <w:r>
              <w:rPr>
                <w:b/>
                <w:color w:val="FFFFFF"/>
                <w:sz w:val="19"/>
              </w:rPr>
              <w:t>验收重点</w:t>
            </w:r>
          </w:p>
        </w:tc>
        <w:tc>
          <w:tcPr>
            <w:tcW w:type="dxa" w:w="1584"/>
            <w:vAlign w:val="center"/>
            <w:shd w:fill="173C51"/>
            <w:tcMar>
              <w:top w:w="95" w:type="dxa"/>
              <w:bottom w:w="95" w:type="dxa"/>
              <w:left w:w="115" w:type="dxa"/>
              <w:right w:w="115" w:type="dxa"/>
            </w:tcMar>
          </w:tcPr>
          <w:p>
            <w:pPr>
              <w:spacing w:after="0" w:line="264" w:lineRule="auto"/>
              <w:jc w:val="center"/>
            </w:pPr>
            <w:r>
              <w:rPr>
                <w:b/>
                <w:color w:val="FFFFFF"/>
                <w:sz w:val="19"/>
              </w:rPr>
              <w:t>初步工作量</w:t>
            </w:r>
          </w:p>
        </w:tc>
      </w:tr>
      <w:tr>
        <w:trPr>
          <w:cantSplit/>
        </w:trPr>
        <w:tc>
          <w:tcPr>
            <w:tcW w:type="dxa" w:w="1152"/>
            <w:vAlign w:val="center"/>
            <w:shd w:fill="FFFFFF"/>
            <w:tcMar>
              <w:top w:w="95" w:type="dxa"/>
              <w:bottom w:w="95" w:type="dxa"/>
              <w:left w:w="115" w:type="dxa"/>
              <w:right w:w="115" w:type="dxa"/>
            </w:tcMar>
          </w:tcPr>
          <w:p>
            <w:pPr>
              <w:spacing w:after="0" w:line="264" w:lineRule="auto"/>
              <w:jc w:val="center"/>
            </w:pPr>
            <w:r>
              <w:rPr>
                <w:b w:val="0"/>
                <w:sz w:val="19"/>
              </w:rPr>
              <w:t>P1 参数与运行基础</w:t>
            </w:r>
          </w:p>
        </w:tc>
        <w:tc>
          <w:tcPr>
            <w:tcW w:type="dxa" w:w="4032"/>
            <w:vAlign w:val="center"/>
            <w:shd w:fill="FFFFFF"/>
            <w:tcMar>
              <w:top w:w="95" w:type="dxa"/>
              <w:bottom w:w="95" w:type="dxa"/>
              <w:left w:w="115" w:type="dxa"/>
              <w:right w:w="115" w:type="dxa"/>
            </w:tcMar>
          </w:tcPr>
          <w:p>
            <w:pPr>
              <w:spacing w:after="0" w:line="264" w:lineRule="auto"/>
            </w:pPr>
            <w:r>
              <w:rPr>
                <w:b w:val="0"/>
                <w:sz w:val="19"/>
              </w:rPr>
              <w:t>方案与 JCS、冻结快照、样本调度、滤波、诊断、心跳、呈现时钟与启动回退</w:t>
            </w:r>
          </w:p>
        </w:tc>
        <w:tc>
          <w:tcPr>
            <w:tcW w:type="dxa" w:w="3312"/>
            <w:vAlign w:val="center"/>
            <w:shd w:fill="FFFFFF"/>
            <w:tcMar>
              <w:top w:w="95" w:type="dxa"/>
              <w:bottom w:w="95" w:type="dxa"/>
              <w:left w:w="115" w:type="dxa"/>
              <w:right w:w="115" w:type="dxa"/>
            </w:tcMar>
          </w:tcPr>
          <w:p>
            <w:pPr>
              <w:spacing w:after="0" w:line="264" w:lineRule="auto"/>
            </w:pPr>
            <w:r>
              <w:rPr>
                <w:b w:val="0"/>
                <w:sz w:val="19"/>
              </w:rPr>
              <w:t>AC02–AC06、AC10、AC12、AC13</w:t>
            </w:r>
          </w:p>
        </w:tc>
        <w:tc>
          <w:tcPr>
            <w:tcW w:type="dxa" w:w="1584"/>
            <w:vAlign w:val="center"/>
            <w:shd w:fill="FFFFFF"/>
            <w:tcMar>
              <w:top w:w="95" w:type="dxa"/>
              <w:bottom w:w="95" w:type="dxa"/>
              <w:left w:w="115" w:type="dxa"/>
              <w:right w:w="115" w:type="dxa"/>
            </w:tcMar>
          </w:tcPr>
          <w:p>
            <w:pPr>
              <w:spacing w:after="0" w:line="264" w:lineRule="auto"/>
            </w:pPr>
            <w:r>
              <w:rPr>
                <w:b w:val="0"/>
                <w:sz w:val="19"/>
              </w:rPr>
              <w:t>4–6 人日</w:t>
            </w:r>
          </w:p>
        </w:tc>
      </w:tr>
      <w:tr>
        <w:trPr>
          <w:cantSplit/>
        </w:trPr>
        <w:tc>
          <w:tcPr>
            <w:tcW w:type="dxa" w:w="1152"/>
            <w:vAlign w:val="center"/>
            <w:shd w:fill="F2F6F8"/>
            <w:tcMar>
              <w:top w:w="95" w:type="dxa"/>
              <w:bottom w:w="95" w:type="dxa"/>
              <w:left w:w="115" w:type="dxa"/>
              <w:right w:w="115" w:type="dxa"/>
            </w:tcMar>
          </w:tcPr>
          <w:p>
            <w:pPr>
              <w:spacing w:after="0" w:line="264" w:lineRule="auto"/>
              <w:jc w:val="center"/>
            </w:pPr>
            <w:r>
              <w:rPr>
                <w:b w:val="0"/>
                <w:sz w:val="19"/>
              </w:rPr>
              <w:t>P2 时钟与数据评估</w:t>
            </w:r>
          </w:p>
        </w:tc>
        <w:tc>
          <w:tcPr>
            <w:tcW w:type="dxa" w:w="4032"/>
            <w:vAlign w:val="center"/>
            <w:shd w:fill="F2F6F8"/>
            <w:tcMar>
              <w:top w:w="95" w:type="dxa"/>
              <w:bottom w:w="95" w:type="dxa"/>
              <w:left w:w="115" w:type="dxa"/>
              <w:right w:w="115" w:type="dxa"/>
            </w:tcMar>
          </w:tcPr>
          <w:p>
            <w:pPr>
              <w:spacing w:after="0" w:line="264" w:lineRule="auto"/>
            </w:pPr>
            <w:r>
              <w:rPr>
                <w:b w:val="0"/>
                <w:sz w:val="19"/>
              </w:rPr>
              <w:t>稳健时钟映射、二进制记录、BrainVision、标签校准、回放与报告</w:t>
            </w:r>
          </w:p>
        </w:tc>
        <w:tc>
          <w:tcPr>
            <w:tcW w:type="dxa" w:w="3312"/>
            <w:vAlign w:val="center"/>
            <w:shd w:fill="F2F6F8"/>
            <w:tcMar>
              <w:top w:w="95" w:type="dxa"/>
              <w:bottom w:w="95" w:type="dxa"/>
              <w:left w:w="115" w:type="dxa"/>
              <w:right w:w="115" w:type="dxa"/>
            </w:tcMar>
          </w:tcPr>
          <w:p>
            <w:pPr>
              <w:spacing w:after="0" w:line="264" w:lineRule="auto"/>
            </w:pPr>
            <w:r>
              <w:rPr>
                <w:b w:val="0"/>
                <w:sz w:val="19"/>
              </w:rPr>
              <w:t>AC07、AC09、AC11、AC14</w:t>
            </w:r>
          </w:p>
        </w:tc>
        <w:tc>
          <w:tcPr>
            <w:tcW w:type="dxa" w:w="1584"/>
            <w:vAlign w:val="center"/>
            <w:shd w:fill="F2F6F8"/>
            <w:tcMar>
              <w:top w:w="95" w:type="dxa"/>
              <w:bottom w:w="95" w:type="dxa"/>
              <w:left w:w="115" w:type="dxa"/>
              <w:right w:w="115" w:type="dxa"/>
            </w:tcMar>
          </w:tcPr>
          <w:p>
            <w:pPr>
              <w:spacing w:after="0" w:line="264" w:lineRule="auto"/>
            </w:pPr>
            <w:r>
              <w:rPr>
                <w:b w:val="0"/>
                <w:sz w:val="19"/>
              </w:rPr>
              <w:t>5–7 人日</w:t>
            </w:r>
          </w:p>
        </w:tc>
      </w:tr>
      <w:tr>
        <w:trPr>
          <w:cantSplit/>
        </w:trPr>
        <w:tc>
          <w:tcPr>
            <w:tcW w:type="dxa" w:w="1152"/>
            <w:vAlign w:val="center"/>
            <w:shd w:fill="FFFFFF"/>
            <w:tcMar>
              <w:top w:w="95" w:type="dxa"/>
              <w:bottom w:w="95" w:type="dxa"/>
              <w:left w:w="115" w:type="dxa"/>
              <w:right w:w="115" w:type="dxa"/>
            </w:tcMar>
          </w:tcPr>
          <w:p>
            <w:pPr>
              <w:spacing w:after="0" w:line="264" w:lineRule="auto"/>
              <w:jc w:val="center"/>
            </w:pPr>
            <w:r>
              <w:rPr>
                <w:b w:val="0"/>
                <w:sz w:val="19"/>
              </w:rPr>
              <w:t>P3 实测与发布</w:t>
            </w:r>
          </w:p>
        </w:tc>
        <w:tc>
          <w:tcPr>
            <w:tcW w:type="dxa" w:w="4032"/>
            <w:vAlign w:val="center"/>
            <w:shd w:fill="FFFFFF"/>
            <w:tcMar>
              <w:top w:w="95" w:type="dxa"/>
              <w:bottom w:w="95" w:type="dxa"/>
              <w:left w:w="115" w:type="dxa"/>
              <w:right w:w="115" w:type="dxa"/>
            </w:tcMar>
          </w:tcPr>
          <w:p>
            <w:pPr>
              <w:spacing w:after="0" w:line="264" w:lineRule="auto"/>
            </w:pPr>
            <w:r>
              <w:rPr>
                <w:b w:val="0"/>
                <w:sz w:val="19"/>
              </w:rPr>
              <w:t>时间同步及 SDK 核验、频率对照、个人默认、研发运行包与说明</w:t>
            </w:r>
          </w:p>
        </w:tc>
        <w:tc>
          <w:tcPr>
            <w:tcW w:type="dxa" w:w="3312"/>
            <w:vAlign w:val="center"/>
            <w:shd w:fill="FFFFFF"/>
            <w:tcMar>
              <w:top w:w="95" w:type="dxa"/>
              <w:bottom w:w="95" w:type="dxa"/>
              <w:left w:w="115" w:type="dxa"/>
              <w:right w:w="115" w:type="dxa"/>
            </w:tcMar>
          </w:tcPr>
          <w:p>
            <w:pPr>
              <w:spacing w:after="0" w:line="264" w:lineRule="auto"/>
            </w:pPr>
            <w:r>
              <w:rPr>
                <w:b w:val="0"/>
                <w:sz w:val="19"/>
              </w:rPr>
              <w:t>全部工程项及独立真人报告</w:t>
            </w:r>
          </w:p>
        </w:tc>
        <w:tc>
          <w:tcPr>
            <w:tcW w:type="dxa" w:w="1584"/>
            <w:vAlign w:val="center"/>
            <w:shd w:fill="FFFFFF"/>
            <w:tcMar>
              <w:top w:w="95" w:type="dxa"/>
              <w:bottom w:w="95" w:type="dxa"/>
              <w:left w:w="115" w:type="dxa"/>
              <w:right w:w="115" w:type="dxa"/>
            </w:tcMar>
          </w:tcPr>
          <w:p>
            <w:pPr>
              <w:spacing w:after="0" w:line="264" w:lineRule="auto"/>
            </w:pPr>
            <w:r>
              <w:rPr>
                <w:b w:val="0"/>
                <w:sz w:val="19"/>
              </w:rPr>
              <w:t>2–3 人日工程支持</w:t>
            </w:r>
          </w:p>
        </w:tc>
      </w:tr>
    </w:tbl>
    <w:p>
      <w:pPr>
        <w:spacing w:after="40"/>
      </w:pPr>
    </w:p>
    <w:p>
      <w:r>
        <w:rPr>
          <w:b w:val="0"/>
        </w:rPr>
        <w:t>新增调度、同步、格式和兼容工作后，初估调整为十一至十六人日，不含受试者安排、重复采集、外部同步测量资源和 SDK 未知问题处理。发布物包括 Windows x64 运行包、源码、参数及二进制格式说明、MNE 读取示例、使用说明和验收记录。0.2.4 保留为对照；研发包单独标识版本，验收后再决定合并与发布。</w:t>
      </w:r>
    </w:p>
    <w:p>
      <w:r>
        <w:rPr>
          <w:b w:val="0"/>
        </w:rPr>
        <w:t>响应检测模型、eCCA/TRCA 个人模板、任意识别通道数量、外设控制及动态插件装载均不纳入本版承诺。确有数据证明简单阈值不足时，再单独评审算法扩展。</w:t>
      </w:r>
    </w:p>
    <w:p>
      <w:pPr>
        <w:pStyle w:val="Heading1"/>
      </w:pPr>
      <w:r>
        <w:t>10 待实测核验事项与依据</w:t>
      </w:r>
    </w:p>
    <w:p>
      <w:r>
        <w:rPr>
          <w:b w:val="0"/>
        </w:rPr>
        <w:t>首轮实施需要核验设备固件滤波的实际状态与截止频率、目标显示器的物理刷新与刺激时序、当前脑电帽的真实通道位置，以及个人可用信号质量。缺失信息显示未知并写入报告，不阻碍先完成方案管理、模拟链路和回放功能。</w:t>
      </w:r>
    </w:p>
    <w:p>
      <w:r>
        <w:rPr>
          <w:b w:val="0"/>
        </w:rPr>
        <w:t>需求依据按优先顺序为本次会话中用户确认的约束、提供的《招标文件 采购需求 脑机接口开发套件》相关条款、0.2.4 实际代码，以及已有《SSVEP 参数研发版本设计》。招标中的硬件可调采样能力与本软件不开放采样率编辑是不同层次；本文不更改硬件指标。本文未将原型演示数据作为效果证据。</w:t>
      </w:r>
    </w:p>
    <w:sectPr w:rsidR="00FC693F" w:rsidRPr="0006063C" w:rsidSect="00034616">
      <w:headerReference w:type="default" r:id="rId9"/>
      <w:footerReference w:type="default" r:id="rId10"/>
      <w:pgSz w:w="12240" w:h="15840"/>
      <w:pgMar w:top="1008" w:right="1080" w:bottom="979" w:left="1080"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文档 1.1  ·  2026-10-02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7"/>
      </w:rPr>
      <w:t>SSVEP 参数研发版   ·   0.3.0 设计文档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40"/>
    </w:pPr>
    <w:rPr>
      <w:rFonts w:ascii="Calibri" w:hAnsi="Calibri" w:eastAsia="Microsoft YaHei"/>
      <w:b w:val="0"/>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eastAsia="Microsoft YaHei"/>
      <w:b/>
      <w:bCs/>
      <w:i w:val="0"/>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eastAsia="Microsoft YaHei"/>
      <w:b/>
      <w:bCs/>
      <w:i w:val="0"/>
      <w:color w:val="000000"/>
      <w:sz w:val="25"/>
      <w:szCs w:val="26"/>
      <w:u w:val="none"/>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eastAsia="Microsoft YaHei"/>
      <w:b/>
      <w:bCs/>
      <w:i w:val="0"/>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Microsoft YaHei"/>
      <w:b/>
      <w:i w:val="0"/>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icrosoft YaHei"/>
      <w:b w:val="0"/>
      <w:i w:val="0"/>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Calibri" w:hAnsi="Calibri" w:eastAsia="Microsoft YaHei"/>
      <w:b w:val="0"/>
      <w:i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Calibri" w:hAnsi="Calibri" w:eastAsia="Microsoft YaHei"/>
      <w:b w:val="0"/>
      <w:i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Microsoft YaHei"/>
      <w:b w:val="0"/>
      <w:bCs/>
      <w:i w:val="0"/>
      <w:color w:val="000000"/>
      <w:sz w:val="19"/>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SSVEP%E5%8F%82%E6%95%B0%E7%A0%94%E5%8F%91%E7%89%88%E6%9E%B6%E6%9E%84%E8%AE%BE%E8%AE%A1_v1.1.docx" TargetMode="External"/><Relationship Id="rId12" Type="http://schemas.openxmlformats.org/officeDocument/2006/relationships/hyperlink" Target="../prototypes/parameter-resear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SSVEP 参数研发版产品需求文档</dc:title>
  <dc:subject>参数研发版 0.3.0 需求与架构</dc:subject>
  <dc:creator>SSVEP 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