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竞赛</w:t>
      </w:r>
    </w:p>
    <w:p>
      <w:pPr>
        <w:spacing w:after="50" w:line="360" w:lineRule="auto" w:beforeLines="100"/>
        <w:ind w:left="0"/>
        <w:jc w:val="left"/>
      </w:pPr>
      <w:bookmarkStart w:name="uc3e36297" w:id="0"/>
      <w:r>
        <w:rPr>
          <w:rFonts w:ascii="宋体" w:hAnsi="Times New Roman" w:eastAsia="宋体"/>
          <w:b w:val="false"/>
          <w:i w:val="false"/>
          <w:color w:val="000000"/>
          <w:sz w:val="22"/>
        </w:rPr>
        <w:t>赛题围绕</w:t>
      </w:r>
      <w:r>
        <w:rPr>
          <w:rFonts w:ascii="宋体" w:hAnsi="Times New Roman" w:eastAsia="宋体"/>
          <w:b/>
          <w:i w:val="false"/>
          <w:color w:val="000000"/>
          <w:sz w:val="22"/>
        </w:rPr>
        <w:t>海量电磁数据中混叠目标信号的提取分辨问题</w:t>
      </w:r>
      <w:r>
        <w:rPr>
          <w:rFonts w:ascii="宋体" w:hAnsi="Times New Roman" w:eastAsia="宋体"/>
          <w:b w:val="false"/>
          <w:i w:val="false"/>
          <w:color w:val="000000"/>
          <w:sz w:val="22"/>
        </w:rPr>
        <w:t>展开</w:t>
      </w:r>
    </w:p>
    <w:bookmarkEnd w:id="0"/>
    <w:bookmarkStart w:name="THXAs" w:id="1"/>
    <w:p>
      <w:pPr>
        <w:pStyle w:val="Heading3"/>
        <w:spacing w:after="50" w:line="360" w:lineRule="auto" w:beforeLines="100"/>
        <w:ind w:left="0"/>
        <w:jc w:val="left"/>
      </w:pPr>
      <w:r>
        <w:rPr>
          <w:rFonts w:ascii="宋体" w:hAnsi="Times New Roman" w:eastAsia="宋体"/>
        </w:rPr>
        <w:t>1 赛题描述</w:t>
      </w:r>
    </w:p>
    <w:bookmarkEnd w:id="1"/>
    <w:bookmarkStart w:name="u56b9c066" w:id="2"/>
    <w:p>
      <w:pPr>
        <w:spacing w:after="50" w:line="360" w:lineRule="auto" w:beforeLines="100"/>
        <w:ind w:left="0"/>
        <w:jc w:val="left"/>
      </w:pPr>
      <w:r>
        <w:rPr>
          <w:rFonts w:ascii="宋体" w:hAnsi="Times New Roman" w:eastAsia="宋体"/>
          <w:b w:val="false"/>
          <w:i w:val="false"/>
          <w:color w:val="000000"/>
          <w:sz w:val="22"/>
        </w:rPr>
        <w:t>在电磁信号处理中，设备侦收的往往是来自多个辐射源的混叠数据，实现多目标混叠信号的准确提取是后续身份判识及威胁推测的先决条件。随着雷达技术体制不断发展，信号种类愈发复杂多变，传统基于经验规则的方法已无法满足复杂信号准确提取需求。</w:t>
      </w:r>
      <w:r>
        <w:rPr>
          <w:rFonts w:ascii="宋体" w:hAnsi="Times New Roman" w:eastAsia="宋体"/>
          <w:b/>
          <w:i w:val="false"/>
          <w:color w:val="000000"/>
          <w:sz w:val="22"/>
        </w:rPr>
        <w:t>本赛题旨在解决对多目标多类型混叠信号的分辨提取问题，通过给定的模板信号（训练样本），实现对测试场景数据中已知信号（若干模板信号）和未知信号(模板以外其他信号)的提取与标注。</w:t>
      </w:r>
    </w:p>
    <w:bookmarkEnd w:id="2"/>
    <w:bookmarkStart w:name="w21Lx" w:id="3"/>
    <w:p>
      <w:pPr>
        <w:pStyle w:val="Heading3"/>
        <w:spacing w:after="50" w:line="360" w:lineRule="auto" w:beforeLines="100"/>
        <w:ind w:left="0"/>
        <w:jc w:val="left"/>
      </w:pPr>
      <w:r>
        <w:rPr>
          <w:rFonts w:ascii="宋体" w:hAnsi="Times New Roman" w:eastAsia="宋体"/>
        </w:rPr>
        <w:t>2 时间安排</w:t>
      </w:r>
    </w:p>
    <w:bookmarkEnd w:id="3"/>
    <w:bookmarkStart w:name="u33f72fff" w:id="4"/>
    <w:p>
      <w:pPr>
        <w:numPr>
          <w:ilvl w:val="0"/>
          <w:numId w:val="1"/>
        </w:numPr>
        <w:spacing w:after="50" w:line="360" w:lineRule="auto" w:beforeLines="100"/>
        <w:ind w:left="360"/>
        <w:jc w:val="left"/>
      </w:pPr>
      <w:r>
        <w:rPr>
          <w:rFonts w:ascii="宋体" w:hAnsi="Times New Roman" w:eastAsia="宋体"/>
          <w:b w:val="false"/>
          <w:i w:val="false"/>
          <w:color w:val="000000"/>
          <w:sz w:val="22"/>
        </w:rPr>
        <w:t>初赛阶段：2023年12月1日10:00-2024年3月31日00:00（多轮线上评测）</w:t>
      </w:r>
    </w:p>
    <w:bookmarkEnd w:id="4"/>
    <w:bookmarkStart w:name="u87ac702e" w:id="5"/>
    <w:p>
      <w:pPr>
        <w:numPr>
          <w:ilvl w:val="0"/>
          <w:numId w:val="2"/>
        </w:numPr>
        <w:spacing w:after="50" w:line="360" w:lineRule="auto" w:beforeLines="100"/>
        <w:ind w:left="360"/>
        <w:jc w:val="left"/>
      </w:pPr>
      <w:r>
        <w:rPr>
          <w:rFonts w:ascii="宋体" w:hAnsi="Times New Roman" w:eastAsia="宋体"/>
          <w:b w:val="false"/>
          <w:i w:val="false"/>
          <w:color w:val="000000"/>
          <w:sz w:val="22"/>
        </w:rPr>
        <w:t>第一轮提交时间：2024年1月3日00:00-2024年1月7日24:00</w:t>
      </w:r>
    </w:p>
    <w:bookmarkEnd w:id="5"/>
    <w:bookmarkStart w:name="u6f460de3" w:id="6"/>
    <w:p>
      <w:pPr>
        <w:numPr>
          <w:ilvl w:val="0"/>
          <w:numId w:val="2"/>
        </w:numPr>
        <w:spacing w:after="50" w:line="360" w:lineRule="auto" w:beforeLines="100"/>
        <w:ind w:left="360"/>
        <w:jc w:val="left"/>
      </w:pPr>
      <w:r>
        <w:rPr>
          <w:rFonts w:ascii="宋体" w:hAnsi="Times New Roman" w:eastAsia="宋体"/>
          <w:b w:val="false"/>
          <w:i w:val="false"/>
          <w:color w:val="000000"/>
          <w:sz w:val="22"/>
        </w:rPr>
        <w:t>第二轮提交时间：2024年1月17日00:00-2024年1月21日24:00</w:t>
      </w:r>
    </w:p>
    <w:bookmarkEnd w:id="6"/>
    <w:bookmarkStart w:name="ufaf1f9f8" w:id="7"/>
    <w:p>
      <w:pPr>
        <w:numPr>
          <w:ilvl w:val="0"/>
          <w:numId w:val="2"/>
        </w:numPr>
        <w:spacing w:after="50" w:line="360" w:lineRule="auto" w:beforeLines="100"/>
        <w:ind w:left="360"/>
        <w:jc w:val="left"/>
      </w:pPr>
      <w:r>
        <w:rPr>
          <w:rFonts w:ascii="宋体" w:hAnsi="Times New Roman" w:eastAsia="宋体"/>
          <w:b w:val="false"/>
          <w:i w:val="false"/>
          <w:color w:val="000000"/>
          <w:sz w:val="22"/>
        </w:rPr>
        <w:t>第三轮提交时间：2024年1月26日00:00-2024年2月8日24:00</w:t>
      </w:r>
    </w:p>
    <w:bookmarkEnd w:id="7"/>
    <w:bookmarkStart w:name="u2c4ee07a" w:id="8"/>
    <w:p>
      <w:pPr>
        <w:numPr>
          <w:ilvl w:val="0"/>
          <w:numId w:val="2"/>
        </w:numPr>
        <w:spacing w:after="50" w:line="360" w:lineRule="auto" w:beforeLines="100"/>
        <w:ind w:left="360"/>
        <w:jc w:val="left"/>
      </w:pPr>
      <w:r>
        <w:rPr>
          <w:rFonts w:ascii="宋体" w:hAnsi="Times New Roman" w:eastAsia="宋体"/>
          <w:b w:val="false"/>
          <w:i w:val="false"/>
          <w:color w:val="000000"/>
          <w:sz w:val="22"/>
        </w:rPr>
        <w:t>后续提交时间待定</w:t>
      </w:r>
    </w:p>
    <w:bookmarkEnd w:id="8"/>
    <w:bookmarkStart w:name="u3bec11fa" w:id="9"/>
    <w:p>
      <w:pPr>
        <w:numPr>
          <w:ilvl w:val="0"/>
          <w:numId w:val="3"/>
        </w:numPr>
        <w:spacing w:after="50" w:line="360" w:lineRule="auto" w:beforeLines="100"/>
        <w:ind w:left="360"/>
        <w:jc w:val="left"/>
      </w:pPr>
      <w:r>
        <w:rPr>
          <w:rFonts w:ascii="宋体" w:hAnsi="Times New Roman" w:eastAsia="宋体"/>
          <w:b w:val="false"/>
          <w:i w:val="false"/>
          <w:color w:val="000000"/>
          <w:sz w:val="22"/>
        </w:rPr>
        <w:t>决赛阶段：待定（线下答辩）</w:t>
      </w:r>
    </w:p>
    <w:bookmarkEnd w:id="9"/>
    <w:bookmarkStart w:name="umT7r" w:id="10"/>
    <w:p>
      <w:pPr>
        <w:pStyle w:val="Heading3"/>
        <w:spacing w:after="50" w:line="360" w:lineRule="auto" w:beforeLines="100"/>
        <w:ind w:left="0"/>
        <w:jc w:val="left"/>
      </w:pPr>
      <w:r>
        <w:rPr>
          <w:rFonts w:ascii="宋体" w:hAnsi="Times New Roman" w:eastAsia="宋体"/>
        </w:rPr>
        <w:t>3 评分标准</w:t>
      </w:r>
    </w:p>
    <w:bookmarkEnd w:id="10"/>
    <w:bookmarkStart w:name="u57a93caf" w:id="11"/>
    <w:p>
      <w:pPr>
        <w:spacing w:after="50" w:line="360" w:lineRule="auto" w:beforeLines="100"/>
        <w:ind w:left="0"/>
        <w:jc w:val="left"/>
      </w:pPr>
      <w:r>
        <w:rPr>
          <w:rFonts w:ascii="宋体" w:hAnsi="Times New Roman" w:eastAsia="宋体"/>
          <w:b/>
          <w:i w:val="false"/>
          <w:color w:val="000000"/>
          <w:sz w:val="22"/>
        </w:rPr>
        <w:t>评价维度和指标</w:t>
      </w:r>
    </w:p>
    <w:bookmarkEnd w:id="11"/>
    <w:bookmarkStart w:name="u539b6f96" w:id="12"/>
    <w:p>
      <w:pPr>
        <w:numPr>
          <w:ilvl w:val="0"/>
          <w:numId w:val="4"/>
        </w:numPr>
        <w:spacing w:after="50" w:line="360" w:lineRule="auto" w:beforeLines="100"/>
        <w:ind w:left="360"/>
        <w:jc w:val="left"/>
      </w:pPr>
      <w:r>
        <w:rPr>
          <w:rFonts w:ascii="宋体" w:hAnsi="Times New Roman" w:eastAsia="宋体"/>
          <w:b w:val="false"/>
          <w:i w:val="false"/>
          <w:color w:val="000000"/>
          <w:sz w:val="22"/>
        </w:rPr>
        <w:t>信号提取标注</w:t>
      </w:r>
      <w:r>
        <w:rPr>
          <w:rFonts w:ascii="宋体" w:hAnsi="Times New Roman" w:eastAsia="宋体"/>
          <w:b/>
          <w:i w:val="false"/>
          <w:color w:val="000000"/>
          <w:sz w:val="22"/>
        </w:rPr>
        <w:t>精确率</w:t>
      </w:r>
      <w:r>
        <w:rPr>
          <w:rFonts w:ascii="宋体" w:hAnsi="Times New Roman" w:eastAsia="宋体"/>
          <w:b w:val="false"/>
          <w:i w:val="false"/>
          <w:color w:val="000000"/>
          <w:sz w:val="22"/>
        </w:rPr>
        <w:t>：首先计算每种信号类型的精确率：该类型预测ID正确的脉冲数/预测为该类型的脉冲总数，然后所有类型的精确率取平均值。</w:t>
      </w:r>
    </w:p>
    <w:bookmarkEnd w:id="12"/>
    <w:bookmarkStart w:name="u291aae2d" w:id="13"/>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信号提取标注</w:t>
      </w:r>
      <w:r>
        <w:rPr>
          <w:rFonts w:ascii="宋体" w:hAnsi="Times New Roman" w:eastAsia="宋体"/>
          <w:b/>
          <w:i w:val="false"/>
          <w:color w:val="000000"/>
          <w:sz w:val="22"/>
        </w:rPr>
        <w:t>召回率</w:t>
      </w:r>
      <w:r>
        <w:rPr>
          <w:rFonts w:ascii="宋体" w:hAnsi="Times New Roman" w:eastAsia="宋体"/>
          <w:b w:val="false"/>
          <w:i w:val="false"/>
          <w:color w:val="000000"/>
          <w:sz w:val="22"/>
        </w:rPr>
        <w:t>：首选计算每种信号类型的召回率：该类型预测ID正确的脉冲数/该类型实际脉冲总数，然后所有类型的召回率取平均值</w:t>
      </w:r>
    </w:p>
    <w:bookmarkEnd w:id="13"/>
    <w:bookmarkStart w:name="lEzNi" w:id="14"/>
    <w:p>
      <w:pPr>
        <w:pStyle w:val="Heading3"/>
        <w:spacing w:after="50" w:line="360" w:lineRule="auto" w:beforeLines="100"/>
        <w:ind w:left="0"/>
        <w:jc w:val="left"/>
      </w:pPr>
      <w:r>
        <w:rPr>
          <w:rFonts w:ascii="宋体" w:hAnsi="Times New Roman" w:eastAsia="宋体"/>
        </w:rPr>
        <w:t>4 数据说明</w:t>
      </w:r>
    </w:p>
    <w:bookmarkEnd w:id="14"/>
    <w:bookmarkStart w:name="u0b7ea1bf" w:id="15"/>
    <w:p>
      <w:pPr>
        <w:spacing w:after="50" w:line="360" w:lineRule="auto" w:beforeLines="100"/>
        <w:ind w:left="0"/>
        <w:jc w:val="left"/>
      </w:pPr>
      <w:r>
        <w:rPr>
          <w:rFonts w:ascii="宋体" w:hAnsi="Times New Roman" w:eastAsia="宋体"/>
          <w:b/>
          <w:i w:val="false"/>
          <w:color w:val="000000"/>
          <w:sz w:val="22"/>
        </w:rPr>
        <w:t>数据特征</w:t>
      </w:r>
    </w:p>
    <w:bookmarkEnd w:id="15"/>
    <w:bookmarkStart w:name="ub6253fac" w:id="16"/>
    <w:p>
      <w:pPr>
        <w:numPr>
          <w:ilvl w:val="0"/>
          <w:numId w:val="5"/>
        </w:numPr>
        <w:spacing w:after="50" w:line="360" w:lineRule="auto" w:beforeLines="100"/>
        <w:ind w:left="360"/>
        <w:jc w:val="left"/>
      </w:pPr>
      <w:r>
        <w:rPr>
          <w:rFonts w:ascii="宋体" w:hAnsi="Times New Roman" w:eastAsia="宋体"/>
          <w:b/>
          <w:i w:val="false"/>
          <w:color w:val="000000"/>
          <w:sz w:val="22"/>
        </w:rPr>
        <w:t>训练数据</w:t>
      </w:r>
      <w:r>
        <w:rPr>
          <w:rFonts w:ascii="宋体" w:hAnsi="Times New Roman" w:eastAsia="宋体"/>
          <w:b w:val="false"/>
          <w:i w:val="false"/>
          <w:color w:val="000000"/>
          <w:sz w:val="22"/>
        </w:rPr>
        <w:t>：设置雷达每种信号类型的持续发射时间为10S，共包含12种信号类型的样本数据，每种类型的样本数据存为1个txt文件，共12个.txt文件，每个训练集文件由一系列时序数据点组成，每个数据点主要由六维特征参数描述，如下图所示，从左到右依次为时间戳TOA、特征A、特征B、特征C、特征D、标签ID。每个文件中只包含该类型无噪声纯净的单类信号（无混叠、丢失、错误及干扰）。（第一列TOA（单位s） 第二列频率（单位MHz） 第三列脉宽（单位μs） 第四列幅值（dB） 第五列到达角 第六列标签）</w:t>
      </w:r>
    </w:p>
    <w:bookmarkEnd w:id="16"/>
    <w:bookmarkStart w:name="udd8b0e7a" w:id="17"/>
    <w:p>
      <w:pPr>
        <w:spacing w:after="50" w:line="360" w:lineRule="auto" w:beforeLines="100"/>
        <w:ind w:left="0"/>
        <w:jc w:val="left"/>
      </w:pPr>
      <w:bookmarkStart w:name="uc7ae216c" w:id="18"/>
      <w:r>
        <w:rPr>
          <w:rFonts w:eastAsia="宋体" w:ascii="宋体"/>
        </w:rPr>
        <w:drawing>
          <wp:inline distT="0" distB="0" distL="0" distR="0">
            <wp:extent cx="5841999" cy="154801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7484534" cy="1983260"/>
                    </a:xfrm>
                    <a:prstGeom prst="rect">
                      <a:avLst/>
                    </a:prstGeom>
                  </pic:spPr>
                </pic:pic>
              </a:graphicData>
            </a:graphic>
          </wp:inline>
        </w:drawing>
      </w:r>
      <w:bookmarkEnd w:id="18"/>
    </w:p>
    <w:bookmarkEnd w:id="17"/>
    <w:bookmarkStart w:name="u17cb93a5" w:id="19"/>
    <w:p>
      <w:pPr>
        <w:numPr>
          <w:ilvl w:val="0"/>
          <w:numId w:val="6"/>
        </w:numPr>
        <w:spacing w:after="50" w:line="360" w:lineRule="auto" w:beforeLines="100"/>
        <w:ind w:left="360"/>
        <w:jc w:val="left"/>
      </w:pPr>
      <w:r>
        <w:rPr>
          <w:rFonts w:ascii="宋体" w:hAnsi="Times New Roman" w:eastAsia="宋体"/>
          <w:b/>
          <w:i w:val="false"/>
          <w:color w:val="000000"/>
          <w:sz w:val="22"/>
        </w:rPr>
        <w:t>验证数据</w:t>
      </w:r>
      <w:r>
        <w:rPr>
          <w:rFonts w:ascii="宋体" w:hAnsi="Times New Roman" w:eastAsia="宋体"/>
          <w:b w:val="false"/>
          <w:i w:val="false"/>
          <w:color w:val="000000"/>
          <w:sz w:val="22"/>
        </w:rPr>
        <w:t>：多种信号类型的混叠数据，共设置3种场景的验证数据，每种场景数据存为1个.txt文件，数据格式与训练数据相同，提供真实标签ID，选手可用于算法的验证改进。</w:t>
      </w:r>
    </w:p>
    <w:bookmarkEnd w:id="19"/>
    <w:bookmarkStart w:name="u18d3fbb9" w:id="20"/>
    <w:p>
      <w:pPr>
        <w:numPr>
          <w:ilvl w:val="0"/>
          <w:numId w:val="6"/>
        </w:numPr>
        <w:spacing w:after="50" w:line="360" w:lineRule="auto" w:beforeLines="100"/>
        <w:ind w:left="360"/>
        <w:jc w:val="left"/>
      </w:pPr>
      <w:r>
        <w:rPr>
          <w:rFonts w:ascii="宋体" w:hAnsi="Times New Roman" w:eastAsia="宋体"/>
          <w:b/>
          <w:i w:val="false"/>
          <w:color w:val="000000"/>
          <w:sz w:val="22"/>
        </w:rPr>
        <w:t>测试数据</w:t>
      </w:r>
      <w:r>
        <w:rPr>
          <w:rFonts w:ascii="宋体" w:hAnsi="Times New Roman" w:eastAsia="宋体"/>
          <w:b w:val="false"/>
          <w:i w:val="false"/>
          <w:color w:val="000000"/>
          <w:sz w:val="22"/>
        </w:rPr>
        <w:t>：若干已知及未知干扰信号的混叠数据，包含测量误差等情况，以更贴近实际场景，验证候选方法的鲁棒性，测试数据由组委会保留。其中已知信号的ID和训练集的ID保持一致，未知信号的ID标注为13。</w:t>
      </w:r>
    </w:p>
    <w:bookmarkEnd w:id="20"/>
    <w:bookmarkStart w:name="u16f2a7ea" w:id="21"/>
    <w:p>
      <w:pPr>
        <w:numPr>
          <w:ilvl w:val="0"/>
          <w:numId w:val="6"/>
        </w:numPr>
        <w:spacing w:after="50" w:line="360" w:lineRule="auto" w:beforeLines="100"/>
        <w:ind w:left="360"/>
        <w:jc w:val="left"/>
      </w:pPr>
      <w:r>
        <w:rPr>
          <w:rFonts w:ascii="宋体" w:hAnsi="Times New Roman" w:eastAsia="宋体"/>
          <w:b/>
          <w:i w:val="false"/>
          <w:color w:val="000000"/>
          <w:sz w:val="22"/>
        </w:rPr>
        <w:t>测试规定</w:t>
      </w:r>
      <w:r>
        <w:rPr>
          <w:rFonts w:ascii="宋体" w:hAnsi="Times New Roman" w:eastAsia="宋体"/>
          <w:b w:val="false"/>
          <w:i w:val="false"/>
          <w:color w:val="000000"/>
          <w:sz w:val="22"/>
        </w:rPr>
        <w:t>：测试数据不带标签列，输出结果顺序要与测试数据顺序保持一致。输出结果为单标签列txt文件。测试文件输入路径和预测结果保存路径以参数形式给定，共有三个测试文件：Scene1.txt, Scene2.txt, Scene3.txt, 选手推理完成后需要生成3个结果文件, 保存在给定路径下， 三个输出文件的命名分别是Scene1.txt, Scene2.txt, Scene3.txt, 与测试集一一对应。具体可参照示例demo: run.py。选手需严格遵守上述规定，否则会导致作品测试无法成功。</w:t>
      </w:r>
    </w:p>
    <w:bookmarkEnd w:id="21"/>
    <w:bookmarkStart w:name="RkEl7" w:id="22"/>
    <w:p>
      <w:pPr>
        <w:pStyle w:val="Heading3"/>
        <w:spacing w:after="50" w:line="360" w:lineRule="auto" w:beforeLines="100"/>
        <w:ind w:left="0"/>
        <w:jc w:val="left"/>
      </w:pPr>
      <w:r>
        <w:rPr>
          <w:rFonts w:ascii="宋体" w:hAnsi="Times New Roman" w:eastAsia="宋体"/>
        </w:rPr>
        <w:t>5 模型提交示例</w:t>
      </w:r>
    </w:p>
    <w:bookmarkEnd w:id="22"/>
    <w:bookmarkStart w:name="u810d6dc4" w:id="23"/>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https://pu-datacastle.obs.cn-north-1.myhuaweicloud.com/%E6%A8%A1%E5%9E%8B%E6%8F%90%E4%BA%A4%E7%A4%BA%E4%BE%8B.html</w:t>
        </w:r>
      </w:hyperlink>
    </w:p>
    <w:bookmarkEnd w:id="23"/>
    <w:bookmarkStart w:name="ude8c51c0" w:id="24"/>
    <w:p>
      <w:pPr>
        <w:spacing w:after="50" w:line="360" w:lineRule="auto" w:beforeLines="100"/>
        <w:ind w:left="0"/>
        <w:jc w:val="left"/>
      </w:pPr>
      <w:r>
        <w:rPr>
          <w:rFonts w:ascii="宋体" w:hAnsi="Times New Roman" w:eastAsia="宋体"/>
          <w:b w:val="false"/>
          <w:i w:val="false"/>
          <w:color w:val="000000"/>
          <w:sz w:val="22"/>
        </w:rPr>
        <w:t>推理环境：</w:t>
      </w:r>
    </w:p>
    <w:bookmarkEnd w:id="24"/>
    <w:bookmarkStart w:name="uf2e7cf37" w:id="25"/>
    <w:p>
      <w:pPr>
        <w:spacing w:after="50" w:line="360" w:lineRule="auto" w:beforeLines="100"/>
        <w:ind w:left="0"/>
        <w:jc w:val="left"/>
      </w:pPr>
      <w:r>
        <w:rPr>
          <w:rFonts w:ascii="宋体" w:hAnsi="Times New Roman" w:eastAsia="宋体"/>
          <w:b w:val="false"/>
          <w:i w:val="false"/>
          <w:color w:val="000000"/>
          <w:sz w:val="22"/>
        </w:rPr>
        <w:t>Ubuntu18.04 + GCC 7.5 + Python 3.7 + CUDA 11.3 + CUDNN 8</w:t>
      </w:r>
    </w:p>
    <w:bookmarkEnd w:id="25"/>
    <w:bookmarkStart w:name="uaafbf257" w:id="26"/>
    <w:p>
      <w:pPr>
        <w:spacing w:after="50" w:line="360" w:lineRule="auto" w:beforeLines="100"/>
        <w:ind w:left="0"/>
        <w:jc w:val="left"/>
      </w:pPr>
      <w:r>
        <w:rPr>
          <w:rFonts w:ascii="宋体" w:hAnsi="Times New Roman" w:eastAsia="宋体"/>
          <w:b w:val="false"/>
          <w:i w:val="false"/>
          <w:color w:val="000000"/>
          <w:sz w:val="22"/>
        </w:rPr>
        <w:t>Geforce RTX 4090 + DDR5双通道内存32GB + 酷睿i9 13900HX + 固态硬盘1TB</w:t>
      </w:r>
    </w:p>
    <w:bookmarkEnd w:id="26"/>
    <w:bookmarkStart w:name="u0f3d2627" w:id="27"/>
    <w:bookmarkEnd w:id="27"/>
    <w:bookmarkStart w:name="uccec3679" w:id="28"/>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https://challenge.datacastle.cn/v3/cmptDetail.html?id=847</w:t>
        </w:r>
      </w:hyperlink>
    </w:p>
    <w:bookmarkEnd w:id="28"/>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2"/>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2"/>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https://pu-datacastle.obs.cn-north-1.myhuaweicloud.com/%E6%A8%A1%E5%9E%8B%E6%8F%90%E4%BA%A4%E7%A4%BA%E4%BE%8B.html" TargetMode="External" Type="http://schemas.openxmlformats.org/officeDocument/2006/relationships/hyperlink"/><Relationship Id="rId6" Target="https://challenge.datacastle.cn/v3/cmptDetail.html?id=847"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