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第2问解决路线</w:t>
      </w:r>
    </w:p>
    <w:p>
      <w:pPr>
        <w:pStyle w:val="SubTitle"/>
      </w:pPr>
      <w:r>
        <w:t xml:space="preserve">配合《第二问_完整可运行代码.py》｜整理日期 2026-09-11｜用途：论文写作快速对齐核心口径</w:t>
      </w:r>
    </w:p>
    <w:p>
      <w:pPr>
        <w:pStyle w:val="Heading1"/>
      </w:pPr>
      <w:r>
        <w:t xml:space="preserve">一句话概括</w:t>
      </w:r>
    </w:p>
    <w:p>
      <w:r>
        <w:t xml:space="preserve">每天零点用历史数据预测当日负荷与光伏，构造联合误差情景，做一次两阶段随机优化定出全天计划购电量 q 并冻结；日内只用实测当前段＋零点预测未来段，滚动解小LP纠偏储能，纠偏不足按5倍电价紧急补购；储电量跨日连续传递，一月为预热期，正式输出2月1日至12月31日共334天。</w:t>
      </w:r>
    </w:p>
    <w:p>
      <w:pPr>
        <w:pStyle w:val="Heading1"/>
      </w:pPr>
      <w:r>
        <w:t xml:space="preserve">一、问题定位与数据来源</w:t>
      </w:r>
    </w:p>
    <w:p>
      <w:r>
        <w:t xml:space="preserve">第1问是已知负荷与光伏曲线的确定性调度；第2问的实质变化是：计划必须在零点提前定死并冻结，而当日负荷与光伏只能用历史数据预测，偏差由储能实时纠偏，纠偏不足时按5倍电价紧急补购。成本结构因此不对称——少购要高价补，多购照付不退。这是全部建模取舍的出发点。</w:t>
      </w:r>
    </w:p>
    <w:p>
      <w:r>
        <w:rPr>
          <w:b/>
        </w:rPr>
        <w:t xml:space="preserve">数据来源严格对应题面“根据附件1中的电价和附件2中的数据”：</w:t>
      </w:r>
    </w:p>
    <w:p>
      <w:pPr>
        <w:ind w:left="284" w:hanging="0"/>
      </w:pPr>
      <w:r>
        <w:t xml:space="preserve">•  附件1 → 只取「电价」列：144段，0.3713~1.3952 元/kWh，每天重复同一条曲线，不能简化成一个全天固定电价。</w:t>
      </w:r>
    </w:p>
    <w:p>
      <w:pPr>
        <w:ind w:left="284" w:hanging="0"/>
      </w:pPr>
      <w:r>
        <w:t xml:space="preserve">•  附件2 → 「小区负载」「光伏发电实际功率」：2025-01-01至12-31共365天×144段，原始单位kW，代码内÷6换算为kWh。</w:t>
      </w:r>
    </w:p>
    <w:p>
      <w:pPr>
        <w:ind w:left="284" w:hanging="0"/>
      </w:pPr>
      <w:r>
        <w:t xml:space="preserve">•  附件1的C、D列（小区负载、光伏发电预测功率）是问题1的名义日曲线，第2问不作为输入；附件3的预报留给第3问。</w:t>
      </w:r>
    </w:p>
    <w:p>
      <w:pPr>
        <w:ind w:left="284" w:hanging="0"/>
      </w:pPr>
      <w:r>
        <w:t xml:space="preserve">•  数据校验实测：无缺失、无负值，光伏大于负荷的时段占19.2732%（脚本控制台会打印此值，可用于核对读取是否正确）。</w:t>
      </w:r>
    </w:p>
    <w:p>
      <w:pPr>
        <w:pStyle w:val="Heading1"/>
      </w:pPr>
      <w:r>
        <w:t xml:space="preserve">二、建模主线（五个环节，方括号内为代码算子编号）</w:t>
      </w:r>
    </w:p>
    <w:p>
      <w:pPr>
        <w:pStyle w:val="Heading2"/>
      </w:pPr>
      <w:r>
        <w:t xml:space="preserve">1. 因果日前预测 [F1]</w:t>
      </w:r>
    </w:p>
    <w:p>
      <w:r>
        <w:t xml:space="preserve">ℓ_hat[d,t]、v_hat[d,t] = 此前 window=7 天同时段均值，只读 d 之前的数据。第0天无历史，预测为0，故一月天然是启动/预热期。</w:t>
      </w:r>
    </w:p>
    <w:p>
      <w:pPr>
        <w:pStyle w:val="Heading2"/>
      </w:pPr>
      <w:r>
        <w:t xml:space="preserve">2. 历史残差 [F2]</w:t>
      </w:r>
    </w:p>
    <w:p>
      <w:r>
        <w:t xml:space="preserve">ε = 实际 − 预测，仅在该日完全结束后可用，绝不提前进入任何决策。</w:t>
      </w:r>
    </w:p>
    <w:p>
      <w:pPr>
        <w:pStyle w:val="Heading2"/>
      </w:pPr>
      <w:r>
        <w:t xml:space="preserve">3. 联合整日误差情景 [F3]</w:t>
      </w:r>
    </w:p>
    <w:p>
      <w:r>
        <w:t xml:space="preserve">从最近 history_days=28 天中不放回抽 scenarios=20 个历史日 i_k &lt; d，把该日负荷与光伏的144段误差整体叠加到当日预测上：</w:t>
      </w:r>
    </w:p>
    <w:p>
      <w:pPr>
        <w:ind w:left="426" w:hanging="0"/>
      </w:pPr>
      <w:r>
        <w:rPr>
          <w:b/>
        </w:rPr>
        <w:t xml:space="preserve">ℓ^(k)[d,t] = max(0, ℓ_hat[d,t] + α·ε^ℓ[i_k,t])，  v^(k)[d,t] = max(0, v_hat[d,t] + α·ε^v[i_k,t])，  α = residual_scale = 1.0，  π_k = 1/K</w:t>
      </w:r>
    </w:p>
    <w:p>
      <w:pPr>
        <w:ind w:left="284" w:hanging="0"/>
      </w:pPr>
      <w:r>
        <w:t xml:space="preserve">•  要点：同一天负荷与光伏误差一起抽，保留日内连续性与二者同期关系；逐时段独立抽样会打散“持续低光伏”等情形，低估储能连续放电压力。</w:t>
      </w:r>
    </w:p>
    <w:p>
      <w:pPr>
        <w:ind w:left="284" w:hanging="0"/>
      </w:pPr>
      <w:r>
        <w:t xml:space="preserve">•  随机种子 seed + day 固定，结果可复现，且不受调用顺序影响。</w:t>
      </w:r>
    </w:p>
    <w:p>
      <w:pPr>
        <w:pStyle w:val="Heading2"/>
      </w:pPr>
      <w:r>
        <w:t xml:space="preserve">4. 日前两阶段随机优化 [M7–M9][S1–S2]</w:t>
      </w:r>
    </w:p>
    <w:p>
      <w:pPr>
        <w:ind w:left="284" w:hanging="0"/>
      </w:pPr>
      <w:r>
        <w:t xml:space="preserve">•  第一阶段（零点）：决策 q_t ≥ 0，t = 1…144，所有情景共享，求出后立即冻结。</w:t>
      </w:r>
    </w:p>
    <w:p>
      <w:pPr>
        <w:ind w:left="284" w:hanging="0"/>
      </w:pPr>
      <w:r>
        <w:t xml:space="preserve">•  第二阶段（情景内）：储能充放电、紧急购电、富余电量处理。</w:t>
      </w:r>
    </w:p>
    <w:p>
      <w:r>
        <w:rPr>
          <w:b/>
        </w:rPr>
        <w:t xml:space="preserve">目标函数：</w:t>
      </w:r>
    </w:p>
    <w:p>
      <w:pPr>
        <w:ind w:left="426" w:hanging="0"/>
      </w:pPr>
      <w:r>
        <w:rPr>
          <w:b/>
        </w:rPr>
        <w:t xml:space="preserve">min  Σ_t p_t·q_t  +  Σ_k π_k [ Σ_t 5·p_t·e_t^(k) + Φ_d(s_144^(k)) ]</w:t>
      </w:r>
    </w:p>
    <w:p>
      <w:r>
        <w:t xml:space="preserve">终端价值 Φ_d(s) = κ·[S_ref − s]^+，κ = 0.5 元/kWh、S_ref = 6000 kWh。它是策略参数而非题设日末电量，只进决策、不进真实费用；12月31日令 Φ = 0。</w:t>
      </w:r>
    </w:p>
    <w:p>
      <w:r>
        <w:t xml:space="preserve">求解策略：先解LP松弛；若解中不存在“同段既充电又紧急购电”的模式，则该LP解可恢复为整数解，直接取得最优性证书；否则升级 HiGHS MILP（时限30s）。这样既保留严格MILP作为理论模型，又让绝大多数天走快速通道，兼顾严谨与全年可算。</w:t>
      </w:r>
    </w:p>
    <w:p>
      <w:r>
        <w:t xml:space="preserve">报童思想的边界（论文可引用，但勿过度声称）：单时段、无储能时最优 q* 满足 F_N(q*) = 1 − 1/5 = 0.8；但加入储能后各时段通过SOC耦合，不能把每段都设成80%分位数就宣称整体最优。本方案由优化器自动求解，不采用分位数规则。</w:t>
      </w:r>
    </w:p>
    <w:p>
      <w:pPr>
        <w:pStyle w:val="Heading2"/>
      </w:pPr>
      <w:r>
        <w:t xml:space="preserve">5. 冻结计划下的因果实时回放 [RT0–RT4]</w:t>
      </w:r>
    </w:p>
    <w:p>
      <w:r>
        <w:t xml:space="preserve">每10分钟：当前段用实测 ℓ_t、v_t，未来段只用零点预测；解一个剩余时域小LP，只执行当前一步；再按真实富余/缺口与SOC余量做安全修正；缺口不足部分紧急补购；日末SOC自然传递次日。日内可调整储能响应，但不能借此免费修改已付费的计划购电量。</w:t>
      </w:r>
    </w:p>
    <w:p>
      <w:pPr>
        <w:pStyle w:val="Heading1"/>
      </w:pPr>
      <w:r>
        <w:t xml:space="preserve">三、关键物理口径（论文必须写明的假设）</w:t>
      </w:r>
    </w:p>
    <w:tbl>
      <w:tblPr>
        <w:tblStyle w:val="TableGrid"/>
        <w:tblW w:w="9026" w:type="dxa"/>
        <w:tblLayout w:type="fixed"/>
      </w:tblPr>
      <w:tblGrid>
        <w:gridCol w:w="1700"/>
        <w:gridCol w:w="7326"/>
      </w:tblGrid>
      <w:tr>
        <w:trPr>
          <w:tblHeader/>
        </w:trPr>
        <w:tc>
          <w:tcPr>
            <w:tcW w:w="1700" w:type="dxa"/>
            <w:shd w:val="clear" w:fill="DEE7F2"/>
            <w:vAlign w:val="center"/>
          </w:tcPr>
          <w:p>
            <w:pPr>
              <w:spacing w:after="20" w:line="260" w:lineRule="auto"/>
            </w:pPr>
            <w:r>
              <w:rPr>
                <w:rFonts w:eastAsia="黑体"/>
                <w:b/>
                <w:sz w:val="19"/>
                <w:szCs w:val="19"/>
              </w:rPr>
              <w:t xml:space="preserve">项目</w:t>
            </w:r>
          </w:p>
        </w:tc>
        <w:tc>
          <w:tcPr>
            <w:tcW w:w="7326" w:type="dxa"/>
            <w:shd w:val="clear" w:fill="DEE7F2"/>
            <w:vAlign w:val="center"/>
          </w:tcPr>
          <w:p>
            <w:pPr>
              <w:spacing w:after="20" w:line="260" w:lineRule="auto"/>
            </w:pPr>
            <w:r>
              <w:rPr>
                <w:rFonts w:eastAsia="黑体"/>
                <w:b/>
                <w:sz w:val="19"/>
                <w:szCs w:val="19"/>
              </w:rPr>
              <w:t xml:space="preserve">设定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计划电</w:t>
            </w:r>
          </w:p>
        </w:tc>
        <w:tc>
          <w:tcPr>
            <w:tcW w:w="7326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允许未取用但全额付费；未用计划量与弃光量分别统计，二者不混为一谈</w:t>
            </w:r>
          </w:p>
        </w:tc>
      </w:tr>
      <w:tr>
        <w:tc>
          <w:tcPr>
            <w:tcW w:w="17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充电来源</w:t>
            </w:r>
          </w:p>
        </w:tc>
        <w:tc>
          <w:tcPr>
            <w:tcW w:w="7326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只允许富余电 (q + v − ℓ)^+ 充电，不用紧急购电充电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紧急购电</w:t>
            </w:r>
          </w:p>
        </w:tc>
        <w:tc>
          <w:tcPr>
            <w:tcW w:w="7326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5倍电价；只补负荷净缺口，禁止流入电池</w:t>
            </w:r>
          </w:p>
        </w:tc>
      </w:tr>
      <w:tr>
        <w:tc>
          <w:tcPr>
            <w:tcW w:w="17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充放电</w:t>
            </w:r>
          </w:p>
        </w:tc>
        <w:tc>
          <w:tcPr>
            <w:tcW w:w="7326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η_c = η_d = 0.9，互斥；单段上限 M = 5000 × 1/6 ≈ 833.33 kWh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储能容量</w:t>
            </w:r>
          </w:p>
        </w:tc>
        <w:tc>
          <w:tcPr>
            <w:tcW w:w="7326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1200 ≤ s ≤ 10800 kWh，跨日连续，不每天重置</w:t>
            </w:r>
          </w:p>
        </w:tc>
      </w:tr>
      <w:tr>
        <w:tc>
          <w:tcPr>
            <w:tcW w:w="17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功率观测</w:t>
            </w:r>
          </w:p>
        </w:tc>
        <w:tc>
          <w:tcPr>
            <w:tcW w:w="7326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10分钟内功率近似恒定、实时可测可跟踪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信息边界</w:t>
            </w:r>
          </w:p>
        </w:tc>
        <w:tc>
          <w:tcPr>
            <w:tcW w:w="7326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任何决策不使用当日及未来真实值；不随机打乱时间序列</w:t>
            </w:r>
          </w:p>
        </w:tc>
      </w:tr>
      <w:tr>
        <w:tc>
          <w:tcPr>
            <w:tcW w:w="17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费用口径</w:t>
            </w:r>
          </w:p>
        </w:tc>
        <w:tc>
          <w:tcPr>
            <w:tcW w:w="7326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真实费用 C_d = Σ_t p_t·q_t + Σ_t 5·p_t·e_t；终端惩罚 Φ 不计入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四、相对《初步问题分析及建模方案》的三处实质修订</w:t>
      </w:r>
    </w:p>
    <w:p>
      <w:pPr>
        <w:pStyle w:val="Heading2"/>
      </w:pPr>
      <w:r>
        <w:t xml:space="preserve">修订1：紧急购电约束改写</w:t>
      </w:r>
    </w:p>
    <w:p>
      <w:pPr>
        <w:ind w:left="284" w:hanging="0"/>
      </w:pPr>
      <w:r>
        <w:t xml:space="preserve">•  原方案：0 ≤ e_t^(k) ≤ ℓ_t^(k)·(1 − z_t^(k))，把紧急购电与充放电二元变量绑定。</w:t>
      </w:r>
    </w:p>
    <w:p>
      <w:pPr>
        <w:ind w:left="284" w:hanging="0"/>
      </w:pPr>
      <w:r>
        <w:t xml:space="preserve">•  问题：系统处于“充电模式”(z = 1) 时若负荷突高、计划电与光伏不足，紧急购电会被一并禁止，属于误伤正常补负荷。</w:t>
      </w:r>
    </w:p>
    <w:p>
      <w:pPr>
        <w:ind w:left="284" w:hanging="0"/>
      </w:pPr>
      <w:r>
        <w:t xml:space="preserve">•  现行：改为净缺口形式 e ≤ (ℓ − v − q − b)^+，物理含义直白——只能补负荷缺口、不能进电池；回放阶段另有安全修正兜底。代码内 QA1 独立断言“应急量等于实际剩余负荷缺口”“禁止应急购电充电”。</w:t>
      </w:r>
    </w:p>
    <w:p>
      <w:pPr>
        <w:pStyle w:val="Heading2"/>
      </w:pPr>
      <w:r>
        <w:t xml:space="preserve">修订2：一月处理与2月1日初始SOC</w:t>
      </w:r>
    </w:p>
    <w:p>
      <w:pPr>
        <w:ind w:left="284" w:hanging="0"/>
      </w:pPr>
      <w:r>
        <w:t xml:space="preserve">•  原方案直接把2月1日设为6000 kWh。需指出这是自行声明的初始化假设，不是题面给定——题面只给1月1日零点6000 kWh。</w:t>
      </w:r>
    </w:p>
    <w:p>
      <w:pPr>
        <w:ind w:left="284" w:hanging="0"/>
      </w:pPr>
      <w:r>
        <w:t xml:space="preserve">•  现行：默认 JAN_WARMUP = True，从1月1日（题面给定值）起连续因果仿真，SOC自然传递到2月1日；正式输出只截取2月1日至12月31日共334天，与 result2 模板日期范围一致。一月因此成为预热/历史期。</w:t>
      </w:r>
    </w:p>
    <w:p>
      <w:pPr>
        <w:ind w:left="284" w:hanging="0"/>
      </w:pPr>
      <w:r>
        <w:t xml:space="preserve">•  若组内改用“2月1日重置6000”，论文中必须明确声明为初始化假设，不能表述为题目给定。</w:t>
      </w:r>
    </w:p>
    <w:p>
      <w:pPr>
        <w:pStyle w:val="Heading2"/>
      </w:pPr>
      <w:r>
        <w:t xml:space="preserve">修订3：终端价值与真实费用严格分账</w:t>
      </w:r>
    </w:p>
    <w:p>
      <w:pPr>
        <w:ind w:left="284" w:hanging="0"/>
      </w:pPr>
      <w:r>
        <w:t xml:space="preserve">•  Φ 只出现在优化目标中；所有报告费用一律按 C = Σ p_t·q_t + Σ 5·p_t·e_t 核算，代码内有断言保证 total_cost = plan_cost + emergency_cost。</w:t>
      </w:r>
    </w:p>
    <w:p>
      <w:pPr>
        <w:pStyle w:val="Heading1"/>
      </w:pPr>
      <w:r>
        <w:t xml:space="preserve">五、求解状态标识与论文写法</w:t>
      </w:r>
    </w:p>
    <w:tbl>
      <w:tblPr>
        <w:tblStyle w:val="TableGrid"/>
        <w:tblW w:w="9026" w:type="dxa"/>
        <w:tblLayout w:type="fixed"/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w="2600" w:type="dxa"/>
            <w:shd w:val="clear" w:fill="DEE7F2"/>
            <w:vAlign w:val="center"/>
          </w:tcPr>
          <w:p>
            <w:pPr>
              <w:spacing w:after="20" w:line="260" w:lineRule="auto"/>
            </w:pPr>
            <w:r>
              <w:rPr>
                <w:rFonts w:eastAsia="黑体"/>
                <w:b/>
                <w:sz w:val="19"/>
                <w:szCs w:val="19"/>
              </w:rPr>
              <w:t xml:space="preserve">状态标识</w:t>
            </w:r>
          </w:p>
        </w:tc>
        <w:tc>
          <w:tcPr>
            <w:tcW w:w="3400" w:type="dxa"/>
            <w:shd w:val="clear" w:fill="DEE7F2"/>
            <w:vAlign w:val="center"/>
          </w:tcPr>
          <w:p>
            <w:pPr>
              <w:spacing w:after="20" w:line="260" w:lineRule="auto"/>
            </w:pPr>
            <w:r>
              <w:rPr>
                <w:rFonts w:eastAsia="黑体"/>
                <w:b/>
                <w:sz w:val="19"/>
                <w:szCs w:val="19"/>
              </w:rPr>
              <w:t xml:space="preserve">含义</w:t>
            </w:r>
          </w:p>
        </w:tc>
        <w:tc>
          <w:tcPr>
            <w:tcW w:w="3026" w:type="dxa"/>
            <w:shd w:val="clear" w:fill="DEE7F2"/>
            <w:vAlign w:val="center"/>
          </w:tcPr>
          <w:p>
            <w:pPr>
              <w:spacing w:after="20" w:line="260" w:lineRule="auto"/>
            </w:pPr>
            <w:r>
              <w:rPr>
                <w:rFonts w:eastAsia="黑体"/>
                <w:b/>
                <w:sz w:val="19"/>
                <w:szCs w:val="19"/>
              </w:rPr>
              <w:t xml:space="preserve">论文写法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LP_CERTIFIED_MILP_OPTIMAL</w:t>
            </w:r>
          </w:p>
        </w:tc>
        <w:tc>
          <w:tcPr>
            <w:tcW w:w="34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LP松弛解可恢复整数充放电模式，即整数最优</w:t>
            </w:r>
          </w:p>
        </w:tc>
        <w:tc>
          <w:tcPr>
            <w:tcW w:w="3026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可称取得最优解（有最优性证书）</w:t>
            </w:r>
          </w:p>
        </w:tc>
      </w:tr>
      <w:tr>
        <w:tc>
          <w:tcPr>
            <w:tcW w:w="26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MILP_OPTIMAL</w:t>
            </w:r>
          </w:p>
        </w:tc>
        <w:tc>
          <w:tcPr>
            <w:tcW w:w="34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严格MILP在时限内证明最优</w:t>
            </w:r>
          </w:p>
        </w:tc>
        <w:tc>
          <w:tcPr>
            <w:tcW w:w="3026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可称最优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MILP_FEASIBLE_TIME_LIMIT</w:t>
            </w:r>
          </w:p>
        </w:tc>
        <w:tc>
          <w:tcPr>
            <w:tcW w:w="34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时限内返回可行解但未证明全局最优</w:t>
            </w:r>
          </w:p>
        </w:tc>
        <w:tc>
          <w:tcPr>
            <w:tcW w:w="3026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如实写“返回相对间隙≤1e-4的可行解”，勿称全局最优</w:t>
            </w:r>
          </w:p>
        </w:tc>
      </w:tr>
    </w:tbl>
    <w:p>
      <w:pPr>
        <w:spacing w:after="60"/>
      </w:pPr>
    </w:p>
    <w:p>
      <w:pPr>
        <w:ind w:left="284" w:hanging="0"/>
      </w:pPr>
      <w:r>
        <w:t xml:space="preserve">•  实测 gap 在 6e-6 ~ 2.7e-5 量级（相对差距 ≤ 0.003%），对费用影响可忽略。</w:t>
      </w:r>
    </w:p>
    <w:p>
      <w:pPr>
        <w:ind w:left="284" w:hanging="0"/>
      </w:pPr>
      <w:r>
        <w:t xml:space="preserve">•  逐日 solve_status 与 mip_gap 记录在输出的「物理审计.csv」「逐日汇总.csv」中，可直接引用。</w:t>
      </w:r>
    </w:p>
    <w:p>
      <w:pPr>
        <w:ind w:left="284" w:hanging="0"/>
      </w:pPr>
      <w:r>
        <w:t xml:space="preserve">•  运行时控制台出现 UserWarning: MILP仅取得可行解… 属预期行为，是代码主动声明求解状态，不是错误。</w:t>
      </w:r>
    </w:p>
    <w:p>
      <w:pPr>
        <w:pStyle w:val="Heading1"/>
      </w:pPr>
      <w:r>
        <w:t xml:space="preserve">六、对比基准与四个指定日期</w:t>
      </w:r>
    </w:p>
    <w:p>
      <w:r>
        <w:t xml:space="preserve">三组对比必须共用同一初始SOC、同一日期范围、同一费用口径，否则比较不公平：</w:t>
      </w:r>
    </w:p>
    <w:p>
      <w:pPr>
        <w:ind w:left="284" w:hanging="0"/>
      </w:pPr>
      <w:r>
        <w:t xml:space="preserve">1.  点预测计划（method = 'point'，单情景）——基础方案。</w:t>
      </w:r>
    </w:p>
    <w:p>
      <w:pPr>
        <w:ind w:left="284" w:hanging="0"/>
      </w:pPr>
      <w:r>
        <w:t xml:space="preserve">2.  联合误差情景计划（method = 'stochastic'）——主方案，用于判断处理预测不确定性是否有效。</w:t>
      </w:r>
    </w:p>
    <w:p>
      <w:pPr>
        <w:ind w:left="284" w:hanging="0"/>
      </w:pPr>
      <w:r>
        <w:t xml:space="preserve">3.  事后完全信息优化——理想参照下界，不得解释为可执行策略。</w:t>
      </w:r>
    </w:p>
    <w:p>
      <w:r>
        <w:t xml:space="preserve">比较指标：实际总购电费、紧急购电费与电量、紧急购电发生天数、弃光量、期末SOC、约束违规情况。预测误差（MAE/RMSE）只作辅助指标，最终应检验“预测是否真的降低了实际费用”。</w:t>
      </w:r>
    </w:p>
    <w:p>
      <w:r>
        <w:t xml:space="preserve">四个指定日期 2025-03-20、06-21、09-23、12-21：必须从全年连续回放中提取，不能单独重新初始化；脚本已内置 SPECIAL_DATES，自动导出「指定日期结果」表。</w:t>
      </w:r>
    </w:p>
    <w:p>
      <w:pPr>
        <w:pStyle w:val="Heading1"/>
      </w:pPr>
      <w:r>
        <w:t xml:space="preserve">七、输出文件与 result2 模板映射</w:t>
      </w:r>
    </w:p>
    <w:p>
      <w:r>
        <w:t xml:space="preserve">官方模板 result2.xlsx 的「计划购电量」表头从 0:10-0:20 起、末尾多一列 0:00-0:10+1，共147列，相对“区间起点标注”整体后错一段。代码处理：只读模板表头，绝不覆盖原文件。</w:t>
      </w:r>
    </w:p>
    <w:p>
      <w:pPr>
        <w:ind w:left="284" w:hanging="0"/>
      </w:pPr>
      <w:r>
        <w:t xml:space="preserve">•  USE_TEMPLATE_HEADER = True → 逐字复制官方147列表头填数。</w:t>
      </w:r>
    </w:p>
    <w:p>
      <w:pPr>
        <w:ind w:left="284" w:hanging="0"/>
      </w:pPr>
      <w:r>
        <w:t xml:space="preserve">•  USE_TEMPLATE_HEADER = False（默认）→ 使用规范区间表头 0:00-0:10 … 23:50-24:00，并另附「时间映射」表说明对应关系。</w:t>
      </w:r>
    </w:p>
    <w:p>
      <w:pPr>
        <w:ind w:left="284" w:hanging="0"/>
      </w:pPr>
      <w:r>
        <w:t xml:space="preserve">•  时间口径：附件源标签 0:10 是区间终点，对应物理区间 00:00–00:10；0:00+1 对应 23:50–24:00。</w:t>
      </w:r>
    </w:p>
    <w:p>
      <w:r>
        <w:t xml:space="preserve">输出内容：result2.xlsx（计划购电量／充放电量／紧急购电量／指定日期结果／时间映射／口径与参数）＋ 逐段明细.csv、逐日汇总.csv、物理审计.csv、方案对比.csv，全部写入「第二问输出」子目录。</w:t>
      </w:r>
    </w:p>
    <w:p>
      <w:pPr>
        <w:ind w:left="284" w:hanging="0"/>
      </w:pPr>
      <w:r>
        <w:t xml:space="preserve">•  充放电量表：每天6个四小时块；SOC只填日初(0:00)与日末(24:00)两个状态值，不能相加。</w:t>
      </w:r>
    </w:p>
    <w:p>
      <w:pPr>
        <w:ind w:left="284" w:hanging="0"/>
      </w:pPr>
      <w:r>
        <w:t xml:space="preserve">•  紧急购电量表：日内连续 e_t &gt; 1e-7 的时段合并为一个事件展示，费用仍逐段按当时电价累计；无事件的日期明确填0。</w:t>
      </w:r>
    </w:p>
    <w:p>
      <w:pPr>
        <w:pStyle w:val="Heading1"/>
      </w:pPr>
      <w:r>
        <w:t xml:space="preserve">八、参数总表与算子对照</w:t>
      </w:r>
    </w:p>
    <w:p>
      <w:r>
        <w:t xml:space="preserve">Config 默认值：dt = 1/6 h；η_c = η_d = 0.9；s_min = 1200、s_max = 10800 kWh；p_max = 5000 kW；s_initial = 6000 kWh；s_ref = 6000 kWh；κ = 0.5；紧急倍数 = 5.0；window = 7 天；history_days = 28 天；scenarios = 20；seed = 20260911；mip_time_limit = 30 s；mip_rel_gap = 1e-6；energy_tol = 2e-5；α = 1.0。</w:t>
      </w:r>
    </w:p>
    <w:p>
      <w:r>
        <w:t xml:space="preserve">其中 κ、s_ref、window、scenarios、α 属可调策略参数，应通过一月或滚动历史回放按“实际总购电成本”调参，不能只看预测误差。</w:t>
      </w:r>
    </w:p>
    <w:p>
      <w:r>
        <w:rPr>
          <w:b/>
        </w:rPr>
        <w:t xml:space="preserve">算子编号在代码注释中一一对应，写公式时可直接对照：</w:t>
      </w:r>
    </w:p>
    <w:tbl>
      <w:tblPr>
        <w:tblStyle w:val="TableGrid"/>
        <w:tblW w:w="9026" w:type="dxa"/>
        <w:tblLayout w:type="fixed"/>
      </w:tblPr>
      <w:tblGrid>
        <w:gridCol w:w="1300"/>
        <w:gridCol w:w="3213"/>
        <w:gridCol w:w="1300"/>
        <w:gridCol w:w="3213"/>
      </w:tblGrid>
      <w:tr>
        <w:trPr>
          <w:tblHeader/>
        </w:trPr>
        <w:tc>
          <w:tcPr>
            <w:tcW w:w="1300" w:type="dxa"/>
            <w:shd w:val="clear" w:fill="DEE7F2"/>
            <w:vAlign w:val="center"/>
          </w:tcPr>
          <w:p>
            <w:pPr>
              <w:spacing w:after="20" w:line="260" w:lineRule="auto"/>
            </w:pPr>
            <w:r>
              <w:rPr>
                <w:rFonts w:eastAsia="黑体"/>
                <w:b/>
                <w:sz w:val="19"/>
                <w:szCs w:val="19"/>
              </w:rPr>
              <w:t xml:space="preserve">编号</w:t>
            </w:r>
          </w:p>
        </w:tc>
        <w:tc>
          <w:tcPr>
            <w:tcW w:w="3213" w:type="dxa"/>
            <w:shd w:val="clear" w:fill="DEE7F2"/>
            <w:vAlign w:val="center"/>
          </w:tcPr>
          <w:p>
            <w:pPr>
              <w:spacing w:after="20" w:line="260" w:lineRule="auto"/>
            </w:pPr>
            <w:r>
              <w:rPr>
                <w:rFonts w:eastAsia="黑体"/>
                <w:b/>
                <w:sz w:val="19"/>
                <w:szCs w:val="19"/>
              </w:rPr>
              <w:t xml:space="preserve">含义</w:t>
            </w:r>
          </w:p>
        </w:tc>
        <w:tc>
          <w:tcPr>
            <w:tcW w:w="1300" w:type="dxa"/>
            <w:shd w:val="clear" w:fill="DEE7F2"/>
            <w:vAlign w:val="center"/>
          </w:tcPr>
          <w:p>
            <w:pPr>
              <w:spacing w:after="20" w:line="260" w:lineRule="auto"/>
            </w:pPr>
            <w:r>
              <w:rPr>
                <w:rFonts w:eastAsia="黑体"/>
                <w:b/>
                <w:sz w:val="19"/>
                <w:szCs w:val="19"/>
              </w:rPr>
              <w:t xml:space="preserve">编号</w:t>
            </w:r>
          </w:p>
        </w:tc>
        <w:tc>
          <w:tcPr>
            <w:tcW w:w="3213" w:type="dxa"/>
            <w:shd w:val="clear" w:fill="DEE7F2"/>
            <w:vAlign w:val="center"/>
          </w:tcPr>
          <w:p>
            <w:pPr>
              <w:spacing w:after="20" w:line="260" w:lineRule="auto"/>
            </w:pPr>
            <w:r>
              <w:rPr>
                <w:rFonts w:eastAsia="黑体"/>
                <w:b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[D1]</w:t>
            </w:r>
          </w:p>
        </w:tc>
        <w:tc>
          <w:tcPr>
            <w:tcW w:w="3213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数据校验与附件读取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[S0–S2]</w:t>
            </w:r>
          </w:p>
        </w:tc>
        <w:tc>
          <w:tcPr>
            <w:tcW w:w="3213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稀疏建模与求解策略</w:t>
            </w:r>
          </w:p>
        </w:tc>
      </w:tr>
      <w:tr>
        <w:tc>
          <w:tcPr>
            <w:tcW w:w="13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[F1]</w:t>
            </w:r>
          </w:p>
        </w:tc>
        <w:tc>
          <w:tcPr>
            <w:tcW w:w="3213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因果日前点预测</w:t>
            </w:r>
          </w:p>
        </w:tc>
        <w:tc>
          <w:tcPr>
            <w:tcW w:w="13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[RT0–RT4]</w:t>
            </w:r>
          </w:p>
        </w:tc>
        <w:tc>
          <w:tcPr>
            <w:tcW w:w="3213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冻结计划下的实时控制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[F2]</w:t>
            </w:r>
          </w:p>
        </w:tc>
        <w:tc>
          <w:tcPr>
            <w:tcW w:w="3213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历史残差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[QA1]</w:t>
            </w:r>
          </w:p>
        </w:tc>
        <w:tc>
          <w:tcPr>
            <w:tcW w:w="3213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独立物理断言</w:t>
            </w:r>
          </w:p>
        </w:tc>
      </w:tr>
      <w:tr>
        <w:tc>
          <w:tcPr>
            <w:tcW w:w="13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[F3]</w:t>
            </w:r>
          </w:p>
        </w:tc>
        <w:tc>
          <w:tcPr>
            <w:tcW w:w="3213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联合整日误差情景</w:t>
            </w:r>
          </w:p>
        </w:tc>
        <w:tc>
          <w:tcPr>
            <w:tcW w:w="1300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[R0–R5]</w:t>
            </w:r>
          </w:p>
        </w:tc>
        <w:tc>
          <w:tcPr>
            <w:tcW w:w="3213" w:type="dxa"/>
            <w:shd w:val="clear" w:fill="F5F8FC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结果汇总与表格映射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[M0–M9]</w:t>
            </w:r>
          </w:p>
        </w:tc>
        <w:tc>
          <w:tcPr>
            <w:tcW w:w="3213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日前优化模型算子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[V0]</w:t>
            </w:r>
          </w:p>
        </w:tc>
        <w:tc>
          <w:tcPr>
            <w:tcW w:w="3213" w:type="dxa"/>
            <w:vAlign w:val="center"/>
          </w:tcPr>
          <w:p>
            <w:pPr>
              <w:spacing w:after="20" w:line="260" w:lineRule="auto"/>
            </w:pPr>
            <w:r>
              <w:rPr>
                <w:rFonts w:eastAsia="宋体"/>
                <w:sz w:val="19"/>
                <w:szCs w:val="19"/>
              </w:rPr>
              <w:t xml:space="preserve">可视化/调试钩子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参考文献</w:t>
      </w:r>
    </w:p>
    <w:p>
      <w:r>
        <w:t xml:space="preserve">以下均为方法来源。本题的5倍价格、设备参数与上述约束组合来自题面与建模假设，不应写成文献原有结论。</w:t>
      </w:r>
    </w:p>
    <w:p>
      <w:pPr>
        <w:ind w:left="284" w:hanging="0"/>
      </w:pPr>
      <w:r>
        <w:t xml:space="preserve">•  [1] SHAPIRO A, DENTCHEVA D, RUSZCZYŃSKI A. Lectures on Stochastic Programming: Modeling and Theory[M]. 2nd ed. Philadelphia: SIAM, 2014. —— 两阶段随机规划、情景样本近似、非预见性、报童模型思想。</w:t>
      </w:r>
    </w:p>
    <w:p>
      <w:pPr>
        <w:ind w:left="284" w:hanging="0"/>
      </w:pPr>
      <w:r>
        <w:t xml:space="preserve">•  [2] HYNDMAN R J, ATHANASOPOULAS G. Forecasting: Principles and Practice[M/OL]. 3rd ed. Melbourne: OTexts, 2021: §5.10 Time series cross-validation. —— 仅用过去数据的逐日滚动预测检验。</w:t>
      </w:r>
    </w:p>
    <w:p>
      <w:pPr>
        <w:ind w:left="284" w:hanging="0"/>
      </w:pPr>
      <w:r>
        <w:t xml:space="preserve">•  [3] LAHIRI S N. Resampling Methods for Dependent Data[M]. New York: Springer, 2003. —— 保留时间依赖的块重采样思想；整日联合误差构造是本题的应用设计。</w:t>
      </w:r>
    </w:p>
    <w:p>
      <w:pPr>
        <w:ind w:left="284" w:hanging="0"/>
      </w:pPr>
      <w:r>
        <w:t xml:space="preserve">•  [4] PARISIO A, RIKOS E, GLIELMO L. Stochastic model predictive control for economic/environmental operations management of microgrids: An experimental case study[J]. Journal of Process Control, 2016, 43: 24-37. —— 不确定条件下的两阶段优化与滚动控制。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after="90" w:line="33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120" w:after="160"/>
    </w:pPr>
    <w:rPr>
      <w:rFonts w:ascii="Arial" w:hAnsi="Arial" w:eastAsia="黑体"/>
      <w:b/>
      <w:sz w:val="36"/>
      <w:szCs w:val="36"/>
    </w:rPr>
  </w:style>
  <w:style w:type="paragraph" w:styleId="SubTitle">
    <w:name w:val="SubTitle"/>
    <w:basedOn w:val="Normal"/>
    <w:pPr>
      <w:jc w:val="center"/>
      <w:spacing w:after="240"/>
    </w:pPr>
    <w:rPr>
      <w:rFonts w:eastAsia="宋体"/>
      <w:color w:val="595959"/>
      <w:sz w:val="19"/>
      <w:szCs w:val="19"/>
    </w:rPr>
  </w:style>
  <w:style w:type="paragraph" w:styleId="Heading1">
    <w:name w:val="heading 1"/>
    <w:basedOn w:val="Normal"/>
    <w:pPr>
      <w:keepNext/>
      <w:spacing w:before="280" w:after="130"/>
      <w:outlineLvl w:val="0"/>
    </w:pPr>
    <w:rPr>
      <w:rFonts w:ascii="Arial" w:hAnsi="Arial" w:eastAsia="黑体"/>
      <w:b/>
      <w:color w:val="1F3864"/>
      <w:sz w:val="28"/>
      <w:szCs w:val="28"/>
    </w:rPr>
  </w:style>
  <w:style w:type="paragraph" w:styleId="Heading2">
    <w:name w:val="heading 2"/>
    <w:basedOn w:val="Normal"/>
    <w:pPr>
      <w:keepNext/>
      <w:spacing w:before="200" w:after="90"/>
      <w:outlineLvl w:val="1"/>
    </w:pPr>
    <w:rPr>
      <w:rFonts w:ascii="Arial" w:hAnsi="Arial" w:eastAsia="黑体"/>
      <w:b/>
      <w:color w:val="2E5395"/>
      <w:sz w:val="23"/>
      <w:szCs w:val="23"/>
    </w:rPr>
  </w:style>
  <w:style w:type="table" w:styleId="TableGrid">
    <w:name w:val="Table Grid"/>
    <w:basedOn w:val="TableNormal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