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66409">
      <w:pPr>
        <w:pBdr>
          <w:bottom w:val="single" w:color="auto" w:sz="4" w:space="1"/>
        </w:pBdr>
        <w:spacing w:after="0"/>
        <w:jc w:val="center"/>
        <w:rPr>
          <w:rFonts w:ascii="Calibri" w:hAnsi="Calibri" w:eastAsia="Calibri" w:cs="Times New Roman"/>
          <w:b/>
          <w:sz w:val="28"/>
          <w:szCs w:val="28"/>
        </w:rPr>
      </w:pPr>
      <w:r>
        <w:rPr>
          <w:rFonts w:ascii="Calibri" w:hAnsi="Calibri" w:eastAsia="Calibri" w:cs="Times New Roman"/>
          <w:b/>
          <w:sz w:val="28"/>
          <w:szCs w:val="28"/>
        </w:rPr>
        <w:t>REPUBLIQUE DEMOCRATIQUE DU CONGO</w:t>
      </w:r>
    </w:p>
    <w:p w14:paraId="22A886A9">
      <w:pPr>
        <w:pBdr>
          <w:bottom w:val="single" w:color="auto" w:sz="4" w:space="1"/>
        </w:pBdr>
        <w:spacing w:after="0"/>
        <w:jc w:val="center"/>
        <w:rPr>
          <w:rFonts w:ascii="Bahnschrift SemiLight SemiCondensed" w:hAnsi="Bahnschrift SemiLight SemiCondensed" w:eastAsia="Calibri" w:cs="Bahnschrift SemiLight SemiCondensed"/>
          <w:bCs/>
          <w:sz w:val="28"/>
          <w:szCs w:val="28"/>
        </w:rPr>
      </w:pPr>
      <w:r>
        <w:rPr>
          <w:rFonts w:ascii="Bahnschrift SemiLight SemiCondensed" w:hAnsi="Bahnschrift SemiLight SemiCondensed" w:eastAsia="Calibri" w:cs="Bahnschrift SemiLight SemiCondensed"/>
          <w:bCs/>
          <w:sz w:val="28"/>
          <w:szCs w:val="28"/>
        </w:rPr>
        <w:t>Ministère de la Santé Publique, Hygiène et Prévoyance Sociale</w:t>
      </w:r>
    </w:p>
    <w:p w14:paraId="3642CF9F">
      <w:pPr>
        <w:pBdr>
          <w:bottom w:val="single" w:color="auto" w:sz="4" w:space="1"/>
        </w:pBdr>
        <w:spacing w:after="0"/>
        <w:jc w:val="center"/>
        <w:rPr>
          <w:rFonts w:ascii="Calibri" w:hAnsi="Calibri" w:eastAsia="Calibri" w:cs="Times New Roman"/>
          <w:b/>
          <w:sz w:val="28"/>
          <w:szCs w:val="28"/>
        </w:rPr>
      </w:pPr>
      <w:r>
        <w:rPr>
          <w:rFonts w:ascii="Calibri" w:hAnsi="Calibri" w:eastAsia="Calibri" w:cs="Times New Roman"/>
          <w:b/>
          <w:sz w:val="28"/>
          <w:szCs w:val="28"/>
        </w:rPr>
        <w:t>PROGRAMME ELARGI DE VACCINATION</w:t>
      </w:r>
    </w:p>
    <w:p w14:paraId="3C23D284">
      <w:pPr>
        <w:pBdr>
          <w:bottom w:val="single" w:color="auto" w:sz="4" w:space="1"/>
        </w:pBdr>
        <w:spacing w:after="0"/>
        <w:jc w:val="center"/>
        <w:rPr>
          <w:rFonts w:ascii="Calibri" w:hAnsi="Calibri" w:eastAsia="Calibri" w:cs="Times New Roman"/>
          <w:b/>
          <w:sz w:val="28"/>
          <w:szCs w:val="28"/>
        </w:rPr>
      </w:pPr>
      <w:r>
        <w:rPr>
          <w:rFonts w:ascii="Calibri" w:hAnsi="Calibri" w:eastAsia="Calibri" w:cs="Times New Roman"/>
          <w:b/>
          <w:sz w:val="28"/>
          <w:szCs w:val="28"/>
        </w:rPr>
        <w:t>REVUE ANNUELLE 2025</w:t>
      </w:r>
    </w:p>
    <w:p w14:paraId="454FDDEE">
      <w:pPr>
        <w:spacing w:after="0"/>
        <w:jc w:val="center"/>
        <w:rPr>
          <w:rFonts w:ascii="Calibri" w:hAnsi="Calibri" w:eastAsia="Calibri" w:cs="Times New Roman"/>
          <w:b/>
          <w:sz w:val="28"/>
          <w:szCs w:val="28"/>
        </w:rPr>
      </w:pPr>
    </w:p>
    <w:p w14:paraId="2401D458">
      <w:pPr>
        <w:spacing w:after="0"/>
        <w:jc w:val="center"/>
        <w:rPr>
          <w:rFonts w:ascii="Calibri" w:hAnsi="Calibri" w:eastAsia="Calibri" w:cs="Times New Roman"/>
          <w:b/>
          <w:sz w:val="28"/>
          <w:szCs w:val="28"/>
          <w:u w:val="single"/>
        </w:rPr>
      </w:pPr>
      <w:r>
        <w:rPr>
          <w:rFonts w:ascii="Calibri" w:hAnsi="Calibri" w:eastAsia="Calibri" w:cs="Times New Roman"/>
          <w:b/>
          <w:sz w:val="28"/>
          <w:szCs w:val="28"/>
          <w:u w:val="single"/>
        </w:rPr>
        <w:t xml:space="preserve">COMPTE RENDU DE LA QUATRIEME JOURNEE </w:t>
      </w:r>
    </w:p>
    <w:p w14:paraId="753C087C">
      <w:pPr>
        <w:spacing w:after="0"/>
        <w:jc w:val="center"/>
        <w:rPr>
          <w:rFonts w:ascii="Calibri" w:hAnsi="Calibri" w:eastAsia="Calibri" w:cs="Times New Roman"/>
          <w:b/>
          <w:sz w:val="28"/>
          <w:szCs w:val="28"/>
          <w:u w:val="single"/>
        </w:rPr>
      </w:pPr>
    </w:p>
    <w:p w14:paraId="1B1E790E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/>
          <w:sz w:val="24"/>
          <w:szCs w:val="24"/>
        </w:rPr>
        <w:t>Date</w:t>
      </w:r>
      <w:r>
        <w:rPr>
          <w:rFonts w:ascii="Calibri" w:hAnsi="Calibri" w:eastAsia="Calibri" w:cs="Times New Roman"/>
          <w:bCs/>
          <w:sz w:val="24"/>
          <w:szCs w:val="24"/>
        </w:rPr>
        <w:t>: Jeudi, 18 décembre 2025</w:t>
      </w:r>
    </w:p>
    <w:p w14:paraId="7B16D93C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/>
          <w:sz w:val="24"/>
          <w:szCs w:val="24"/>
        </w:rPr>
        <w:t xml:space="preserve">Lieu </w:t>
      </w:r>
      <w:r>
        <w:rPr>
          <w:rFonts w:ascii="Calibri" w:hAnsi="Calibri" w:eastAsia="Calibri" w:cs="Times New Roman"/>
          <w:bCs/>
          <w:sz w:val="24"/>
          <w:szCs w:val="24"/>
        </w:rPr>
        <w:t>: Salle de banquet de l’hôtel LEDYA</w:t>
      </w:r>
    </w:p>
    <w:p w14:paraId="3698DA1E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/>
          <w:sz w:val="24"/>
          <w:szCs w:val="24"/>
        </w:rPr>
        <w:t>Participants</w:t>
      </w:r>
      <w:r>
        <w:rPr>
          <w:rFonts w:ascii="Calibri" w:hAnsi="Calibri" w:eastAsia="Calibri" w:cs="Times New Roman"/>
          <w:bCs/>
          <w:sz w:val="24"/>
          <w:szCs w:val="24"/>
        </w:rPr>
        <w:t>: 164 personnes, dont 20  femmes</w:t>
      </w:r>
    </w:p>
    <w:p w14:paraId="20F48C8A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/>
          <w:sz w:val="24"/>
          <w:szCs w:val="24"/>
        </w:rPr>
        <w:t>Modération</w:t>
      </w:r>
      <w:r>
        <w:rPr>
          <w:rFonts w:ascii="Calibri" w:hAnsi="Calibri" w:eastAsia="Calibri" w:cs="Times New Roman"/>
          <w:bCs/>
          <w:sz w:val="24"/>
          <w:szCs w:val="24"/>
        </w:rPr>
        <w:t>: elle a</w:t>
      </w:r>
      <w:r>
        <w:rPr>
          <w:rFonts w:hint="default" w:ascii="Calibri" w:hAnsi="Calibri" w:eastAsia="Calibri" w:cs="Times New Roman"/>
          <w:bCs/>
          <w:sz w:val="24"/>
          <w:szCs w:val="24"/>
          <w:lang w:val="fr-FR"/>
        </w:rPr>
        <w:t xml:space="preserve"> été</w:t>
      </w:r>
      <w:r>
        <w:rPr>
          <w:rFonts w:ascii="Calibri" w:hAnsi="Calibri" w:eastAsia="Calibri" w:cs="Times New Roman"/>
          <w:bCs/>
          <w:sz w:val="24"/>
          <w:szCs w:val="24"/>
        </w:rPr>
        <w:t xml:space="preserve"> assurée par l’organisation PATH</w:t>
      </w:r>
    </w:p>
    <w:p w14:paraId="60C0433A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La modératrice a lancé la journée par le Où en sommes-nous ?, avant de présenter l’agenda de la journée, axé essentiellement sur la </w:t>
      </w:r>
      <w:r>
        <w:rPr>
          <w:rFonts w:ascii="Calibri" w:hAnsi="Calibri" w:eastAsia="Calibri" w:cs="Times New Roman"/>
          <w:bCs/>
          <w:sz w:val="24"/>
          <w:szCs w:val="24"/>
        </w:rPr>
        <w:t>formulation des activités et la finalisation du PAO 2026.</w:t>
      </w:r>
    </w:p>
    <w:p w14:paraId="4ADFF1A5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>Cet agenda prévoyait trois plages, à savoir :</w:t>
      </w:r>
    </w:p>
    <w:p w14:paraId="0C461E29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 xml:space="preserve"> - Les travaux des groupes</w:t>
      </w:r>
    </w:p>
    <w:p w14:paraId="78FFCEDA">
      <w:pPr>
        <w:spacing w:after="0" w:line="360" w:lineRule="auto"/>
        <w:rPr>
          <w:rFonts w:ascii="Calibri" w:hAnsi="Calibri" w:eastAsia="Calibri" w:cs="Times New Roman"/>
          <w:bCs/>
          <w:color w:val="auto"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 xml:space="preserve">- </w:t>
      </w:r>
      <w:r>
        <w:rPr>
          <w:rFonts w:ascii="Calibri" w:hAnsi="Calibri" w:eastAsia="Calibri" w:cs="Times New Roman"/>
          <w:bCs/>
          <w:color w:val="auto"/>
          <w:sz w:val="24"/>
          <w:szCs w:val="24"/>
        </w:rPr>
        <w:t>La Revue des travaux des groupes</w:t>
      </w:r>
    </w:p>
    <w:p w14:paraId="08AF77BC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>- La Consolidation des travaux des groupes</w:t>
      </w:r>
    </w:p>
    <w:p w14:paraId="15852A73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>Ensuite, le rapporteur de la troisième journée a été invité à présenter le compte rendu.</w:t>
      </w:r>
    </w:p>
    <w:p w14:paraId="31CDD7CF">
      <w:pPr>
        <w:spacing w:after="0" w:line="360" w:lineRule="auto"/>
        <w:rPr>
          <w:rFonts w:ascii="Calibri" w:hAnsi="Calibri" w:eastAsia="Calibri" w:cs="Times New Roman"/>
          <w:b/>
          <w:sz w:val="24"/>
          <w:szCs w:val="24"/>
        </w:rPr>
      </w:pPr>
      <w:r>
        <w:rPr>
          <w:rFonts w:ascii="Calibri" w:hAnsi="Calibri" w:eastAsia="Calibri" w:cs="Times New Roman"/>
          <w:b/>
          <w:sz w:val="24"/>
          <w:szCs w:val="24"/>
        </w:rPr>
        <w:t>De la lecture et adoption du compte rendu:;</w:t>
      </w:r>
    </w:p>
    <w:p w14:paraId="6397A93F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>Après lecture du compte rendu de la troisième journée, l’assemblée a convenu de le réviser tant sur la forme que sur le fond.</w:t>
      </w:r>
    </w:p>
    <w:p w14:paraId="2883A4E9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  <w:lang w:val="en-US"/>
        </w:rPr>
      </w:pPr>
      <w:r>
        <w:rPr>
          <w:rFonts w:ascii="Calibri" w:hAnsi="Calibri" w:eastAsia="Calibri" w:cs="Times New Roman"/>
          <w:bCs/>
          <w:sz w:val="24"/>
          <w:szCs w:val="24"/>
          <w:lang w:val="en-US"/>
        </w:rPr>
        <w:t>Les principaux amend</w:t>
      </w:r>
      <w:r>
        <w:rPr>
          <w:rFonts w:hint="default" w:ascii="Calibri" w:hAnsi="Calibri" w:eastAsia="Calibri" w:cs="Times New Roman"/>
          <w:bCs/>
          <w:sz w:val="24"/>
          <w:szCs w:val="24"/>
          <w:lang w:val="fr-FR"/>
        </w:rPr>
        <w:t>e</w:t>
      </w:r>
      <w:r>
        <w:rPr>
          <w:rFonts w:ascii="Calibri" w:hAnsi="Calibri" w:eastAsia="Calibri" w:cs="Times New Roman"/>
          <w:bCs/>
          <w:sz w:val="24"/>
          <w:szCs w:val="24"/>
          <w:lang w:val="en-US"/>
        </w:rPr>
        <w:t>ments portent sur :</w:t>
      </w:r>
    </w:p>
    <w:p w14:paraId="5D5A441A">
      <w:pPr>
        <w:numPr>
          <w:ilvl w:val="0"/>
          <w:numId w:val="1"/>
        </w:num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/>
          <w:bCs/>
          <w:sz w:val="24"/>
          <w:szCs w:val="24"/>
        </w:rPr>
        <w:t>La concision :</w:t>
      </w:r>
      <w:r>
        <w:rPr>
          <w:rFonts w:ascii="Calibri" w:hAnsi="Calibri" w:eastAsia="Calibri" w:cs="Times New Roman"/>
          <w:bCs/>
          <w:sz w:val="24"/>
          <w:szCs w:val="24"/>
        </w:rPr>
        <w:t xml:space="preserve"> la longueur du texte doit être réduite pour plus d'efficacité ;</w:t>
      </w:r>
    </w:p>
    <w:p w14:paraId="6AF381E5">
      <w:pPr>
        <w:numPr>
          <w:ilvl w:val="0"/>
          <w:numId w:val="1"/>
        </w:num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/>
          <w:bCs/>
          <w:sz w:val="24"/>
          <w:szCs w:val="24"/>
        </w:rPr>
        <w:t>La pertinence :</w:t>
      </w:r>
      <w:r>
        <w:rPr>
          <w:rFonts w:ascii="Calibri" w:hAnsi="Calibri" w:eastAsia="Calibri" w:cs="Times New Roman"/>
          <w:bCs/>
          <w:sz w:val="24"/>
          <w:szCs w:val="24"/>
        </w:rPr>
        <w:t xml:space="preserve"> les détails superflus ou non validés par les participants doivent être élagués.</w:t>
      </w:r>
    </w:p>
    <w:p w14:paraId="4FB0C7A5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</w:p>
    <w:p w14:paraId="2B6F3D2C">
      <w:pPr>
        <w:numPr>
          <w:ilvl w:val="0"/>
          <w:numId w:val="2"/>
        </w:numPr>
        <w:spacing w:after="0" w:line="360" w:lineRule="auto"/>
        <w:rPr>
          <w:rFonts w:ascii="Calibri" w:hAnsi="Calibri" w:eastAsia="Calibri" w:cs="Times New Roman"/>
          <w:b/>
          <w:sz w:val="24"/>
          <w:szCs w:val="24"/>
        </w:rPr>
      </w:pPr>
      <w:r>
        <w:rPr>
          <w:rFonts w:ascii="Calibri" w:hAnsi="Calibri" w:eastAsia="Calibri" w:cs="Times New Roman"/>
          <w:b/>
          <w:sz w:val="24"/>
          <w:szCs w:val="24"/>
        </w:rPr>
        <w:t>De la récapitulation des orientations sur les travaux en groupes</w:t>
      </w:r>
    </w:p>
    <w:p w14:paraId="658A81DF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>Prenant la parole, la facilitation a rappelé que les groupes de travail devront se réunir pour continuer la finalisation du PAO 2026. Ils devront s’appuyer sur les livrables qui sont placés en ligne, à savoir:</w:t>
      </w:r>
    </w:p>
    <w:p w14:paraId="0DA52D65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  <w:lang w:val="en-US"/>
        </w:rPr>
      </w:pPr>
      <w:r>
        <w:rPr>
          <w:rFonts w:ascii="Calibri" w:hAnsi="Calibri" w:eastAsia="Calibri" w:cs="Times New Roman"/>
          <w:bCs/>
          <w:sz w:val="24"/>
          <w:szCs w:val="24"/>
          <w:lang w:val="en-US"/>
        </w:rPr>
        <w:t>PAO 2025, SNV, Plan Mashako 3.0, Canevas PAO 2026, Budget.</w:t>
      </w:r>
    </w:p>
    <w:p w14:paraId="5645603E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  <w:sectPr>
          <w:footerReference r:id="rId5" w:type="default"/>
          <w:pgSz w:w="11906" w:h="16838"/>
          <w:pgMar w:top="993" w:right="707" w:bottom="993" w:left="993" w:header="708" w:footer="708" w:gutter="0"/>
          <w:cols w:space="708" w:num="1"/>
          <w:docGrid w:linePitch="360" w:charSpace="0"/>
        </w:sectPr>
      </w:pPr>
      <w:r>
        <w:rPr>
          <w:rFonts w:ascii="Calibri" w:hAnsi="Calibri" w:eastAsia="Calibri" w:cs="Times New Roman"/>
          <w:bCs/>
          <w:sz w:val="24"/>
          <w:szCs w:val="24"/>
        </w:rPr>
        <w:t xml:space="preserve">Il a enchéri en demandant aux groupes d’ajouter les autres activités dont les financements sont sécurisés. Aussi, ressortir (sous format narratif), l’analyse de la mise en œuvre des réalisations du PAO </w:t>
      </w:r>
      <w:r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2026 par rapport à chaque </w:t>
      </w:r>
      <w:r>
        <w:rPr>
          <w:rFonts w:ascii="Calibri" w:hAnsi="Calibri" w:eastAsia="Calibri" w:cs="Times New Roman"/>
          <w:bCs/>
          <w:sz w:val="24"/>
          <w:szCs w:val="24"/>
        </w:rPr>
        <w:t xml:space="preserve">thématique.                                                                                                             </w:t>
      </w:r>
    </w:p>
    <w:p w14:paraId="14CB25F4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</w:p>
    <w:p w14:paraId="00035659">
      <w:pPr>
        <w:numPr>
          <w:ilvl w:val="0"/>
          <w:numId w:val="2"/>
        </w:num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/>
          <w:sz w:val="24"/>
          <w:szCs w:val="24"/>
        </w:rPr>
        <w:t>Évaluation des travaux de groupe :</w:t>
      </w:r>
    </w:p>
    <w:p w14:paraId="4550F880">
      <w:pPr>
        <w:pStyle w:val="6"/>
        <w:shd w:val="clear" w:color="auto" w:fill="FFFFFF"/>
        <w:spacing w:before="0" w:beforeAutospacing="0" w:after="0" w:afterAutospacing="0"/>
        <w:rPr>
          <w:rFonts w:ascii="Calibri" w:hAnsi="Calibri" w:eastAsia="Calibri"/>
          <w:bCs/>
          <w:lang w:val="fr-FR" w:eastAsia="fr-FR"/>
        </w:rPr>
      </w:pPr>
      <w:r>
        <w:rPr>
          <w:rFonts w:ascii="Calibri" w:hAnsi="Calibri" w:eastAsia="Calibri"/>
          <w:bCs/>
          <w:lang w:val="fr-FR" w:eastAsia="fr-FR"/>
        </w:rPr>
        <w:t>De retour en séance, la modératrice a invité chaque président de groupe à présenter un état des lieux de ses travaux. La situation globale est synthétisée dans le tableau ci-dessous : </w:t>
      </w:r>
    </w:p>
    <w:p w14:paraId="507BC633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4122"/>
        <w:gridCol w:w="2248"/>
        <w:gridCol w:w="7896"/>
      </w:tblGrid>
      <w:tr w14:paraId="7E0A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dxa"/>
          </w:tcPr>
          <w:p w14:paraId="352E53FA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4122" w:type="dxa"/>
          </w:tcPr>
          <w:p w14:paraId="3656302F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Domaine/Groupe</w:t>
            </w:r>
          </w:p>
        </w:tc>
        <w:tc>
          <w:tcPr>
            <w:tcW w:w="2248" w:type="dxa"/>
          </w:tcPr>
          <w:p w14:paraId="23834568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val="fr-FR"/>
              </w:rPr>
              <w:t>Évolution</w:t>
            </w: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 xml:space="preserve"> du travail</w:t>
            </w:r>
          </w:p>
        </w:tc>
        <w:tc>
          <w:tcPr>
            <w:tcW w:w="7896" w:type="dxa"/>
          </w:tcPr>
          <w:p w14:paraId="30009A36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</w:p>
        </w:tc>
      </w:tr>
      <w:tr w14:paraId="1BEE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dxa"/>
          </w:tcPr>
          <w:p w14:paraId="547DB0E1">
            <w:pPr>
              <w:spacing w:after="0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122" w:type="dxa"/>
          </w:tcPr>
          <w:p w14:paraId="6F495B3B">
            <w:pPr>
              <w:spacing w:after="0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Gestion de programme, financement et ressources humaines</w:t>
            </w:r>
          </w:p>
        </w:tc>
        <w:tc>
          <w:tcPr>
            <w:tcW w:w="2248" w:type="dxa"/>
          </w:tcPr>
          <w:p w14:paraId="6C3DDA58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70%</w:t>
            </w:r>
          </w:p>
        </w:tc>
        <w:tc>
          <w:tcPr>
            <w:tcW w:w="7896" w:type="dxa"/>
          </w:tcPr>
          <w:p w14:paraId="167CA7BD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drawing>
                <wp:inline distT="0" distB="0" distL="0" distR="0">
                  <wp:extent cx="4136390" cy="1864360"/>
                  <wp:effectExtent l="0" t="0" r="0" b="2540"/>
                  <wp:docPr id="2135182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18282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3254" cy="1903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11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dxa"/>
          </w:tcPr>
          <w:p w14:paraId="55EDDF8A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122" w:type="dxa"/>
          </w:tcPr>
          <w:p w14:paraId="233903BC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Prestation &amp; AVS</w:t>
            </w:r>
          </w:p>
        </w:tc>
        <w:tc>
          <w:tcPr>
            <w:tcW w:w="2248" w:type="dxa"/>
          </w:tcPr>
          <w:p w14:paraId="5D50FD4A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55 %</w:t>
            </w:r>
          </w:p>
        </w:tc>
        <w:tc>
          <w:tcPr>
            <w:tcW w:w="7896" w:type="dxa"/>
          </w:tcPr>
          <w:p w14:paraId="58DEF3B0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drawing>
                <wp:inline distT="0" distB="0" distL="0" distR="0">
                  <wp:extent cx="4274820" cy="1926590"/>
                  <wp:effectExtent l="0" t="0" r="0" b="0"/>
                  <wp:docPr id="91717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17729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930" cy="193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20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dxa"/>
          </w:tcPr>
          <w:p w14:paraId="6A189E5D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122" w:type="dxa"/>
          </w:tcPr>
          <w:p w14:paraId="563E78D2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Couverture vaccinale, Suivi et évaluation</w:t>
            </w:r>
          </w:p>
        </w:tc>
        <w:tc>
          <w:tcPr>
            <w:tcW w:w="2248" w:type="dxa"/>
          </w:tcPr>
          <w:p w14:paraId="35ADFF1C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50%</w:t>
            </w:r>
          </w:p>
        </w:tc>
        <w:tc>
          <w:tcPr>
            <w:tcW w:w="7896" w:type="dxa"/>
          </w:tcPr>
          <w:p w14:paraId="77EF887D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drawing>
                <wp:inline distT="0" distB="0" distL="0" distR="0">
                  <wp:extent cx="4555490" cy="2052955"/>
                  <wp:effectExtent l="0" t="0" r="0" b="4445"/>
                  <wp:docPr id="206643916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43916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38" cy="2069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122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dxa"/>
          </w:tcPr>
          <w:p w14:paraId="4D41F5AC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4122" w:type="dxa"/>
          </w:tcPr>
          <w:p w14:paraId="51DE8F2B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Génération de la demande</w:t>
            </w:r>
          </w:p>
        </w:tc>
        <w:tc>
          <w:tcPr>
            <w:tcW w:w="2248" w:type="dxa"/>
          </w:tcPr>
          <w:p w14:paraId="62274F18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50%</w:t>
            </w:r>
          </w:p>
        </w:tc>
        <w:tc>
          <w:tcPr>
            <w:tcW w:w="7896" w:type="dxa"/>
          </w:tcPr>
          <w:p w14:paraId="24772056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drawing>
                <wp:inline distT="0" distB="0" distL="0" distR="0">
                  <wp:extent cx="4540250" cy="2046605"/>
                  <wp:effectExtent l="0" t="0" r="0" b="0"/>
                  <wp:docPr id="21076721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67210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9924" cy="2060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BA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dxa"/>
          </w:tcPr>
          <w:p w14:paraId="588ECA34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4122" w:type="dxa"/>
          </w:tcPr>
          <w:p w14:paraId="68DB893F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Surveillance de MPV</w:t>
            </w:r>
          </w:p>
        </w:tc>
        <w:tc>
          <w:tcPr>
            <w:tcW w:w="2248" w:type="dxa"/>
          </w:tcPr>
          <w:p w14:paraId="492D30EB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20%</w:t>
            </w:r>
          </w:p>
        </w:tc>
        <w:tc>
          <w:tcPr>
            <w:tcW w:w="7896" w:type="dxa"/>
          </w:tcPr>
          <w:p w14:paraId="3929E59B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drawing>
                <wp:inline distT="0" distB="0" distL="0" distR="0">
                  <wp:extent cx="4761230" cy="2146300"/>
                  <wp:effectExtent l="0" t="0" r="1270" b="6350"/>
                  <wp:docPr id="3220641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06414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503" cy="2157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C0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dxa"/>
          </w:tcPr>
          <w:p w14:paraId="2DCE681F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4122" w:type="dxa"/>
          </w:tcPr>
          <w:p w14:paraId="58365B7D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Approvisionnement, qualité et logistique lié aux vaccins</w:t>
            </w:r>
          </w:p>
        </w:tc>
        <w:tc>
          <w:tcPr>
            <w:tcW w:w="2248" w:type="dxa"/>
          </w:tcPr>
          <w:p w14:paraId="3860B303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Cs/>
                <w:sz w:val="24"/>
                <w:szCs w:val="24"/>
              </w:rPr>
              <w:t>40%</w:t>
            </w:r>
          </w:p>
        </w:tc>
        <w:tc>
          <w:tcPr>
            <w:tcW w:w="7896" w:type="dxa"/>
          </w:tcPr>
          <w:p w14:paraId="799D9CB2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  <w:r>
              <w:drawing>
                <wp:inline distT="0" distB="0" distL="0" distR="0">
                  <wp:extent cx="4867910" cy="2194560"/>
                  <wp:effectExtent l="0" t="0" r="8890" b="0"/>
                  <wp:docPr id="123171013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71013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667" cy="220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268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8" w:type="dxa"/>
          </w:tcPr>
          <w:p w14:paraId="616AEB5B">
            <w:pPr>
              <w:spacing w:after="0" w:line="360" w:lineRule="auto"/>
              <w:rPr>
                <w:rFonts w:ascii="Calibri" w:hAnsi="Calibri" w:eastAsia="Calibri" w:cs="Times New Roman"/>
                <w:bCs/>
                <w:sz w:val="24"/>
                <w:szCs w:val="24"/>
              </w:rPr>
            </w:pPr>
          </w:p>
        </w:tc>
        <w:tc>
          <w:tcPr>
            <w:tcW w:w="4122" w:type="dxa"/>
          </w:tcPr>
          <w:p w14:paraId="5DD3F8AB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MOYENNE</w:t>
            </w:r>
          </w:p>
        </w:tc>
        <w:tc>
          <w:tcPr>
            <w:tcW w:w="2248" w:type="dxa"/>
          </w:tcPr>
          <w:p w14:paraId="27F7A691">
            <w:pPr>
              <w:spacing w:after="0" w:line="36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</w:rPr>
              <w:t>50%</w:t>
            </w:r>
          </w:p>
        </w:tc>
        <w:tc>
          <w:tcPr>
            <w:tcW w:w="7896" w:type="dxa"/>
          </w:tcPr>
          <w:p w14:paraId="62BDD879">
            <w:pPr>
              <w:spacing w:after="0" w:line="360" w:lineRule="auto"/>
              <w:jc w:val="center"/>
            </w:pPr>
          </w:p>
        </w:tc>
      </w:tr>
    </w:tbl>
    <w:p w14:paraId="5C331D77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</w:p>
    <w:p w14:paraId="41C88404">
      <w:pPr>
        <w:spacing w:after="0" w:line="360" w:lineRule="auto"/>
        <w:jc w:val="both"/>
        <w:rPr>
          <w:rFonts w:ascii="Calibri" w:hAnsi="Calibri" w:eastAsia="Calibri" w:cs="Times New Roman"/>
          <w:bCs/>
          <w:color w:val="EE0000"/>
          <w:sz w:val="24"/>
          <w:szCs w:val="24"/>
        </w:rPr>
        <w:sectPr>
          <w:pgSz w:w="16838" w:h="11906" w:orient="landscape"/>
          <w:pgMar w:top="992" w:right="992" w:bottom="709" w:left="992" w:header="709" w:footer="709" w:gutter="0"/>
          <w:cols w:space="708" w:num="1"/>
          <w:docGrid w:linePitch="360" w:charSpace="0"/>
        </w:sectPr>
      </w:pPr>
    </w:p>
    <w:p w14:paraId="217C8A0B">
      <w:pPr>
        <w:spacing w:after="0" w:line="360" w:lineRule="auto"/>
        <w:jc w:val="both"/>
        <w:rPr>
          <w:rFonts w:ascii="Calibri" w:hAnsi="Calibri" w:eastAsia="Calibri" w:cs="Times New Roman"/>
          <w:bCs/>
          <w:color w:val="EE0000"/>
          <w:sz w:val="24"/>
          <w:szCs w:val="24"/>
        </w:rPr>
      </w:pPr>
    </w:p>
    <w:p w14:paraId="165EC427">
      <w:pPr>
        <w:spacing w:after="0" w:line="360" w:lineRule="auto"/>
        <w:jc w:val="both"/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Avec un taux d'avancement </w:t>
      </w:r>
      <w:r>
        <w:rPr>
          <w:rFonts w:hint="default" w:ascii="Calibri" w:hAnsi="Calibri" w:eastAsia="Calibri" w:cs="Times New Roman"/>
          <w:bCs/>
          <w:color w:val="000000" w:themeColor="text1"/>
          <w:sz w:val="24"/>
          <w:szCs w:val="24"/>
          <w:lang w:val="fr-FR"/>
          <w14:textFill>
            <w14:solidFill>
              <w14:schemeClr w14:val="tx1"/>
            </w14:solidFill>
          </w14:textFill>
        </w:rPr>
        <w:t>avoisinant</w:t>
      </w:r>
      <w:r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50 %, les participants ont été encouragés à redoubler d'efforts pour aboutir à un PAO 2026 validé par toutes les parties prenantes.</w:t>
      </w:r>
    </w:p>
    <w:p w14:paraId="7EA4128D">
      <w:pPr>
        <w:spacing w:after="0" w:line="360" w:lineRule="auto"/>
        <w:jc w:val="both"/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Les travaux de groupe, soutenus par les visites des encadreurs, reprendront</w:t>
      </w:r>
      <w:r>
        <w:rPr>
          <w:rFonts w:hint="default" w:ascii="Calibri" w:hAnsi="Calibri" w:eastAsia="Calibri" w:cs="Times New Roman"/>
          <w:bCs/>
          <w:color w:val="000000" w:themeColor="text1"/>
          <w:sz w:val="24"/>
          <w:szCs w:val="24"/>
          <w:lang w:val="fr-FR"/>
          <w14:textFill>
            <w14:solidFill>
              <w14:schemeClr w14:val="tx1"/>
            </w14:solidFill>
          </w14:textFill>
        </w:rPr>
        <w:t xml:space="preserve"> ce vendredi 19 décembre 2025</w:t>
      </w:r>
      <w:r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</w:p>
    <w:p w14:paraId="6B67B749">
      <w:pPr>
        <w:spacing w:after="0" w:line="360" w:lineRule="auto"/>
        <w:jc w:val="both"/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 restitution des drafts est fixée à 10h00, laissant l'après-midi consacrée à l'intégration des derniers inputs.</w:t>
      </w:r>
    </w:p>
    <w:p w14:paraId="4C97D2E6">
      <w:pPr>
        <w:spacing w:after="0" w:line="360" w:lineRule="auto"/>
        <w:jc w:val="both"/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ascii="Calibri" w:hAnsi="Calibri" w:eastAsia="Calibri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Ainsi, la journée a pris fin à 17h22’ avec la désignation des rapporteurs du cinquième jour.</w:t>
      </w:r>
    </w:p>
    <w:p w14:paraId="4FB6E381">
      <w:pPr>
        <w:spacing w:after="0" w:line="360" w:lineRule="auto"/>
        <w:jc w:val="both"/>
        <w:rPr>
          <w:rFonts w:ascii="Calibri" w:hAnsi="Calibri" w:eastAsia="Calibri" w:cs="Times New Roman"/>
          <w:bCs/>
          <w:color w:val="EE0000"/>
          <w:sz w:val="24"/>
          <w:szCs w:val="24"/>
        </w:rPr>
      </w:pPr>
    </w:p>
    <w:p w14:paraId="14DA263E">
      <w:pPr>
        <w:spacing w:after="0" w:line="360" w:lineRule="auto"/>
        <w:rPr>
          <w:rFonts w:ascii="Calibri" w:hAnsi="Calibri" w:eastAsia="Calibri" w:cs="Times New Roman"/>
          <w:bCs/>
          <w:color w:val="EE0000"/>
          <w:sz w:val="24"/>
          <w:szCs w:val="24"/>
        </w:rPr>
      </w:pPr>
    </w:p>
    <w:p w14:paraId="3523A3BF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 xml:space="preserve">                                                                                                              Fait à Matadi, le 18 décembre 2025</w:t>
      </w:r>
    </w:p>
    <w:p w14:paraId="334D9E65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 xml:space="preserve">                                                                                                               Pour l’équipe de rapportage</w:t>
      </w:r>
    </w:p>
    <w:p w14:paraId="43C25186">
      <w:pPr>
        <w:spacing w:after="0" w:line="360" w:lineRule="auto"/>
        <w:rPr>
          <w:rFonts w:ascii="Calibri" w:hAnsi="Calibri" w:eastAsia="Calibri" w:cs="Times New Roman"/>
          <w:b/>
          <w:sz w:val="24"/>
          <w:szCs w:val="24"/>
        </w:rPr>
      </w:pPr>
      <w:r>
        <w:rPr>
          <w:rFonts w:ascii="Calibri" w:hAnsi="Calibri" w:eastAsia="Calibri" w:cs="Times New Roman"/>
          <w:bCs/>
          <w:sz w:val="24"/>
          <w:szCs w:val="24"/>
        </w:rPr>
        <w:t xml:space="preserve">                                                                                                            </w:t>
      </w:r>
      <w:r>
        <w:rPr>
          <w:rFonts w:ascii="Calibri" w:hAnsi="Calibri" w:eastAsia="Calibri" w:cs="Times New Roman"/>
          <w:b/>
          <w:sz w:val="24"/>
          <w:szCs w:val="24"/>
        </w:rPr>
        <w:t xml:space="preserve">  Dr. Papy KABONGO TSHIJUKE</w:t>
      </w:r>
    </w:p>
    <w:p w14:paraId="0761D61F">
      <w:pPr>
        <w:tabs>
          <w:tab w:val="left" w:pos="5904"/>
          <w:tab w:val="left" w:pos="6120"/>
        </w:tabs>
        <w:spacing w:after="0" w:line="360" w:lineRule="auto"/>
        <w:rPr>
          <w:rFonts w:ascii="Calibri" w:hAnsi="Calibri" w:eastAsia="Calibri" w:cs="Times New Roman"/>
          <w:b/>
          <w:sz w:val="24"/>
          <w:szCs w:val="24"/>
        </w:rPr>
      </w:pPr>
      <w:r>
        <w:rPr>
          <w:rFonts w:ascii="Calibri" w:hAnsi="Calibri" w:eastAsia="Calibri" w:cs="Times New Roman"/>
          <w:b/>
          <w:sz w:val="24"/>
          <w:szCs w:val="24"/>
        </w:rPr>
        <w:t xml:space="preserve">       </w:t>
      </w:r>
      <w:r>
        <w:rPr>
          <w:rFonts w:ascii="Calibri" w:hAnsi="Calibri" w:eastAsia="Calibri" w:cs="Times New Roman"/>
          <w:b/>
          <w:sz w:val="24"/>
          <w:szCs w:val="24"/>
        </w:rPr>
        <w:tab/>
      </w:r>
      <w:r>
        <w:rPr>
          <w:rFonts w:ascii="Calibri" w:hAnsi="Calibri" w:eastAsia="Calibri" w:cs="Times New Roman"/>
          <w:b/>
          <w:sz w:val="24"/>
          <w:szCs w:val="24"/>
        </w:rPr>
        <w:t xml:space="preserve"> Ir Hilaire KANYINGU</w:t>
      </w:r>
      <w:r>
        <w:rPr>
          <w:rFonts w:ascii="Calibri" w:hAnsi="Calibri" w:eastAsia="Calibri" w:cs="Times New Roman"/>
          <w:b/>
          <w:sz w:val="24"/>
          <w:szCs w:val="24"/>
        </w:rPr>
        <w:tab/>
      </w:r>
    </w:p>
    <w:p w14:paraId="40B6A79E">
      <w:pPr>
        <w:spacing w:after="0" w:line="360" w:lineRule="auto"/>
        <w:rPr>
          <w:rFonts w:ascii="Calibri" w:hAnsi="Calibri" w:eastAsia="Calibri" w:cs="Times New Roman"/>
          <w:b/>
          <w:sz w:val="24"/>
          <w:szCs w:val="24"/>
        </w:rPr>
      </w:pPr>
      <w:r>
        <w:rPr>
          <w:rFonts w:ascii="Calibri" w:hAnsi="Calibri" w:eastAsia="Calibri" w:cs="Times New Roman"/>
          <w:b/>
          <w:sz w:val="24"/>
          <w:szCs w:val="24"/>
        </w:rPr>
        <w:t xml:space="preserve">                                                                                                              Dr Pacifique KANKU</w:t>
      </w:r>
    </w:p>
    <w:p w14:paraId="28D213D9">
      <w:pPr>
        <w:tabs>
          <w:tab w:val="left" w:pos="5988"/>
        </w:tabs>
        <w:spacing w:after="0" w:line="360" w:lineRule="auto"/>
        <w:rPr>
          <w:rFonts w:ascii="Calibri" w:hAnsi="Calibri" w:eastAsia="Calibri" w:cs="Times New Roman"/>
          <w:b/>
          <w:sz w:val="24"/>
          <w:szCs w:val="24"/>
        </w:rPr>
      </w:pPr>
      <w:r>
        <w:rPr>
          <w:rFonts w:ascii="Calibri" w:hAnsi="Calibri" w:eastAsia="Calibri" w:cs="Times New Roman"/>
          <w:b/>
          <w:sz w:val="24"/>
          <w:szCs w:val="24"/>
        </w:rPr>
        <w:tab/>
      </w:r>
      <w:r>
        <w:rPr>
          <w:rFonts w:ascii="Calibri" w:hAnsi="Calibri" w:eastAsia="Calibri" w:cs="Times New Roman"/>
          <w:b/>
          <w:sz w:val="24"/>
          <w:szCs w:val="24"/>
        </w:rPr>
        <w:t>Dr Jean Pierre OKANDJO  OKITO LOMA.</w:t>
      </w:r>
    </w:p>
    <w:p w14:paraId="10BE4A70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</w:p>
    <w:p w14:paraId="6F3A6C79">
      <w:pPr>
        <w:spacing w:after="0" w:line="360" w:lineRule="auto"/>
        <w:rPr>
          <w:rFonts w:ascii="Calibri" w:hAnsi="Calibri" w:eastAsia="Calibri" w:cs="Times New Roman"/>
          <w:bCs/>
          <w:sz w:val="24"/>
          <w:szCs w:val="24"/>
        </w:rPr>
      </w:pPr>
    </w:p>
    <w:p w14:paraId="2F604A3B">
      <w:pPr>
        <w:spacing w:after="0"/>
        <w:rPr>
          <w:rFonts w:ascii="Calibri" w:hAnsi="Calibri" w:eastAsia="Calibri" w:cs="Times New Roman"/>
          <w:bCs/>
          <w:sz w:val="24"/>
          <w:szCs w:val="24"/>
        </w:rPr>
      </w:pPr>
    </w:p>
    <w:p w14:paraId="1C0C7F0B">
      <w:pPr>
        <w:spacing w:after="0"/>
        <w:jc w:val="both"/>
        <w:rPr>
          <w:rFonts w:ascii="Calibri" w:hAnsi="Calibri" w:eastAsia="Calibri" w:cs="Times New Roman"/>
          <w:b/>
          <w:sz w:val="24"/>
          <w:szCs w:val="24"/>
          <w:u w:val="single"/>
        </w:rPr>
      </w:pPr>
      <w:r>
        <w:rPr>
          <w:rFonts w:ascii="Calibri" w:hAnsi="Calibri" w:eastAsia="Calibri" w:cs="Times New Roman"/>
          <w:b/>
          <w:sz w:val="24"/>
          <w:szCs w:val="24"/>
          <w:u w:val="single"/>
        </w:rPr>
        <w:t xml:space="preserve">     </w:t>
      </w:r>
    </w:p>
    <w:p w14:paraId="26729905">
      <w:pPr>
        <w:jc w:val="both"/>
        <w:rPr>
          <w:rFonts w:ascii="Calibri" w:hAnsi="Calibri" w:cs="Times New Roman"/>
          <w:sz w:val="24"/>
          <w:szCs w:val="24"/>
        </w:rPr>
      </w:pPr>
      <w:r>
        <w:rPr>
          <w:rFonts w:ascii="Calibri" w:hAnsi="Calibri" w:eastAsia="Calibri" w:cs="Times New Roman"/>
          <w:b/>
        </w:rPr>
        <w:t xml:space="preserve">                                                                      </w:t>
      </w:r>
    </w:p>
    <w:sectPr>
      <w:pgSz w:w="11906" w:h="16838"/>
      <w:pgMar w:top="992" w:right="709" w:bottom="992" w:left="992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Light SemiCondensed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2001364"/>
      <w:docPartObj>
        <w:docPartGallery w:val="AutoText"/>
      </w:docPartObj>
    </w:sdtPr>
    <w:sdtContent>
      <w:p w14:paraId="6623A17C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DF06CA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B137D"/>
    <w:multiLevelType w:val="multilevel"/>
    <w:tmpl w:val="0E4B13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3E69BE9"/>
    <w:multiLevelType w:val="singleLevel"/>
    <w:tmpl w:val="33E69B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962"/>
    <w:rsid w:val="000470FF"/>
    <w:rsid w:val="00072286"/>
    <w:rsid w:val="000C066C"/>
    <w:rsid w:val="000E35B7"/>
    <w:rsid w:val="000F0F86"/>
    <w:rsid w:val="000F45F8"/>
    <w:rsid w:val="000F7F97"/>
    <w:rsid w:val="00142307"/>
    <w:rsid w:val="00144D89"/>
    <w:rsid w:val="001C2210"/>
    <w:rsid w:val="001D7AA6"/>
    <w:rsid w:val="00201D48"/>
    <w:rsid w:val="00210202"/>
    <w:rsid w:val="002124DF"/>
    <w:rsid w:val="002D692F"/>
    <w:rsid w:val="002E4F55"/>
    <w:rsid w:val="00377539"/>
    <w:rsid w:val="003D21A7"/>
    <w:rsid w:val="00446635"/>
    <w:rsid w:val="00452D7A"/>
    <w:rsid w:val="004E2473"/>
    <w:rsid w:val="00530721"/>
    <w:rsid w:val="00587ECE"/>
    <w:rsid w:val="00623C8B"/>
    <w:rsid w:val="00635458"/>
    <w:rsid w:val="00681A5F"/>
    <w:rsid w:val="006B4465"/>
    <w:rsid w:val="006D234D"/>
    <w:rsid w:val="007D6363"/>
    <w:rsid w:val="00814282"/>
    <w:rsid w:val="008A3806"/>
    <w:rsid w:val="008F754D"/>
    <w:rsid w:val="00960D13"/>
    <w:rsid w:val="009B1B28"/>
    <w:rsid w:val="009C537E"/>
    <w:rsid w:val="009E38C2"/>
    <w:rsid w:val="009E6F8B"/>
    <w:rsid w:val="00A670A4"/>
    <w:rsid w:val="00AE520B"/>
    <w:rsid w:val="00B0652A"/>
    <w:rsid w:val="00B10D0E"/>
    <w:rsid w:val="00B2358E"/>
    <w:rsid w:val="00B32245"/>
    <w:rsid w:val="00C11CD7"/>
    <w:rsid w:val="00C35962"/>
    <w:rsid w:val="00CB2832"/>
    <w:rsid w:val="00D07774"/>
    <w:rsid w:val="00D37DDF"/>
    <w:rsid w:val="00D53926"/>
    <w:rsid w:val="00E41F8C"/>
    <w:rsid w:val="00E71216"/>
    <w:rsid w:val="00EA23C0"/>
    <w:rsid w:val="00F012CC"/>
    <w:rsid w:val="00FA0398"/>
    <w:rsid w:val="09313723"/>
    <w:rsid w:val="0F986E49"/>
    <w:rsid w:val="10560FF0"/>
    <w:rsid w:val="10D162BF"/>
    <w:rsid w:val="14830684"/>
    <w:rsid w:val="156D391B"/>
    <w:rsid w:val="1D000BB5"/>
    <w:rsid w:val="1F6D256E"/>
    <w:rsid w:val="22D95491"/>
    <w:rsid w:val="26AE7F98"/>
    <w:rsid w:val="2ADB18BB"/>
    <w:rsid w:val="2EBC59A7"/>
    <w:rsid w:val="31084FD8"/>
    <w:rsid w:val="313F5CD8"/>
    <w:rsid w:val="328A5CFA"/>
    <w:rsid w:val="357A7AA5"/>
    <w:rsid w:val="37414D5F"/>
    <w:rsid w:val="3E100BF3"/>
    <w:rsid w:val="4CA43DA3"/>
    <w:rsid w:val="4D807444"/>
    <w:rsid w:val="52A902A0"/>
    <w:rsid w:val="59A753C2"/>
    <w:rsid w:val="62E61E3F"/>
    <w:rsid w:val="63B47AD1"/>
    <w:rsid w:val="66C951A9"/>
    <w:rsid w:val="6A8A604F"/>
    <w:rsid w:val="6CE37C88"/>
    <w:rsid w:val="74E30AB9"/>
    <w:rsid w:val="753919A8"/>
    <w:rsid w:val="7CDF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eastAsia="zh-CN"/>
    </w:r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2"/>
    <w:link w:val="5"/>
    <w:qFormat/>
    <w:uiPriority w:val="99"/>
    <w:rPr>
      <w:rFonts w:eastAsiaTheme="minorEastAsia"/>
      <w:sz w:val="22"/>
      <w:szCs w:val="22"/>
      <w:lang w:val="fr-FR" w:eastAsia="fr-FR"/>
    </w:rPr>
  </w:style>
  <w:style w:type="character" w:customStyle="1" w:styleId="10">
    <w:name w:val="Footer Char"/>
    <w:basedOn w:val="2"/>
    <w:link w:val="4"/>
    <w:qFormat/>
    <w:uiPriority w:val="99"/>
    <w:rPr>
      <w:rFonts w:eastAsiaTheme="minorEastAsia"/>
      <w:sz w:val="22"/>
      <w:szCs w:val="22"/>
      <w:lang w:val="fr-FR" w:eastAsia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5</Pages>
  <Words>553</Words>
  <Characters>3158</Characters>
  <Lines>26</Lines>
  <Paragraphs>7</Paragraphs>
  <TotalTime>10</TotalTime>
  <ScaleCrop>false</ScaleCrop>
  <LinksUpToDate>false</LinksUpToDate>
  <CharactersWithSpaces>3704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2025-12-19T06:18:00Z</dcterms:created>
  <dc:creator>SUKANI MAKPONDU</dc:creator>
  <cp:lastModifiedBy>Papy Tshij</cp:lastModifiedBy>
  <cp:lastPrinted>2025-04-21T04:26:00Z</cp:lastPrinted>
  <dcterms:modified xsi:type="dcterms:W3CDTF">2025-12-19T06:51:29Z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C1F5B08441CB45DAB9E8F318FFD79DA6_12</vt:lpwstr>
  </property>
</Properties>
</file>