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SHS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Ghana (Sekondi-Takoradi)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2023-09-29T18:42:46Z</dcterms:modified>
</cp:coreProperties>
</file>