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India (Jaipur)</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34</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97.1%</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33</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34</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84.4%</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4299</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5091</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4299</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97.1%*84.4% = 82.0%</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12 in India (Jaipur)</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2023-09-30T11:42:06Z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