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Ghana (Sekondi-Takoradi)</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JHS 1 - SHS 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38</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JHS 1 - SHS 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97.4%</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37</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38</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91.8%</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3796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4137</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3796</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97.4%*91.8% = 89.3%</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JHS 1 - SHS 2 in Ghana (Sekondi-Takoradi)</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2023-11-15T23:13:33Z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