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India (Jaipur)</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34</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7 - Grade 12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97.1%</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33</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34</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84.4%</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4299</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5091</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4299</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97.1%*84.4% = 82.0%</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7 - Grade 12 in India (Jaipur)</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2023-11-16T00:08:44Z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