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(All Sites)</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119</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119</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119</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84.6%</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12351</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14601</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10524</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100.0%*84.6% = 84.6%</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(All Sites)</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2022</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2023-12-07T19:06:31Z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