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UNRWA (Gaza)</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9</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25</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9</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25</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25</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83.9%</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2523</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3007</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2522</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100.0%*83.9% = 83.9%</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9 in UNRWA (Gaza)</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2023-11-14T18:32:27Z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