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(Syria)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21</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21</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21</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87.2%</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2276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2610</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2275</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100.0%*87.2% = 87.2%</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(Syria)</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2023-11-15T09:57:30Z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