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535"/>
        <w:gridCol w:w="610"/>
        <w:gridCol w:w="3662"/>
        <w:gridCol w:w="1348"/>
        <w:gridCol w:w="1204"/>
      </w:tblGrid>
      <w:tr>
        <w:trPr>
          <w:trHeight w:val="88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Nom 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de la variable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Code de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et réponses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Fréquence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 non pondérée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Pourcentage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pondéré</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présentant une insuffisance pondérale (&lt;-2 écarts-type par rapport à la médiane de l'IMC par âge et sexe)</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r>
      <w:tr>
        <w:trPr>
          <w:trHeight w:val="577"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en surpoids (&gt;+1 écart-type par rapport à la médiane de l'IMC par âge et sexe)</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77"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obèses (&gt; +2 écarts-type par rapport à la médiane de l'IMC par âge et sexe)</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77"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eu faim la plupart du temps ou toujours (parce qu'il n'y avait pas assez de nourriture chez eux au cours des 30 jours précédant l'enquête)</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r>
      <w:tr>
        <w:trPr>
          <w:trHeight w:val="577"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mangé de fruits (pendant les 7 jours précédant l'enquête)</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77"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moins d'une fois par jour (au cours des 7 jours précédant l'enquête)</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77"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une ou plusieurs fois par jour (pendant les 7 jours précédant l'enquête)</w:t>
            </w:r>
          </w:p>
        </w:tc>
      </w:tr>
      <w:tr>
        <w:trPr>
          <w:trHeight w:val="56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6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77"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deux fois ou plus par jour (au cours des 7 jours précédant l'enquête)</w:t>
            </w:r>
          </w:p>
        </w:tc>
      </w:tr>
      <w:tr>
        <w:trPr>
          <w:trHeight w:val="564"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r>
      <w:tr>
        <w:trPr>
          <w:trHeight w:val="564"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r>
      <w:tr>
        <w:trPr>
          <w:trHeight w:val="577"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fruits trois fois ou plus par jour (au cours des 7 jours précédant l'enquête)</w:t>
            </w:r>
          </w:p>
        </w:tc>
      </w:tr>
      <w:tr>
        <w:trPr>
          <w:trHeight w:val="564"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77"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mangé de légumes (pendant les 7 jours précédant l'enquête)</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77"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moins d'une fois par jour (pendant les 7 jours précédant l'enquête)</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77"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une ou plusieurs fois par jour (pendant les 7 jours précédant l'enquête)</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77"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deux fois ou plus par jour (au cours des 7 jours précédant l'enquête)</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77"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mangé des légumes trois fois ou plus par jour (au cours des 7 jours précédant l'enquête)</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77"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bu de sodas gazeux (hors sodas gazeux diététiques, durant les 7 jours précédant l'enquête)</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77"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moins d'une fois par jour (hors sodas gazeux diététiques, au cours des 7 jours précédant l'enquête)</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77"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une ou plusieurs fois par jour (hors sodas gazeusx diététiques, au cours des 7 jours précédant l'enquête)</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r>
      <w:tr>
        <w:trPr>
          <w:trHeight w:val="577"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deux fois ou plus par jour (hors sodas gazeux diététiques, au cours des 7 jours précédant l'enquête)</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77"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sodas gazeux trois fois ou plus par jour (hors sodas gazeux diététiques, au cours des 7 jours précédant l'enquête)</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77"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pas bu de boissons sucrées (hors boissons gazeuses et boissons diététiques ou sans calories, au cours des 7 jours précédant l'enquête)</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77"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moins d'une fois par jour (hors sodas gazeuses et boissons diététiques ou sans calories, au cours des 7 jours précédant l'enquête)</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77"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une ou plusieurs fois par jour (hors sodas gazeuses et boissons diététiques ou sans calories, au cours des 7 jours précédant l'enquête)</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77"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deux fois ou plus par jour (hors sodas gazeuses et boissons diététiques ou sans calories, au cours des 7 jours précédant l'enquête)</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r>
      <w:tr>
        <w:trPr>
          <w:trHeight w:val="577"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des boissons sucrées trois fois ou plus par jour (hors sodas gazeuses et boissons diététiques ou sans calories, au cours des 7 jours précédant l'enquête)</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77"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bu aucune boisson sucrée (au cours des 7 jours précédant l'enquête)</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r>
      <w:tr>
        <w:trPr>
          <w:trHeight w:val="577"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moins d'une fois par jour (au cours des 7 jours précédant l'enquête)</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77"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une ou plusieurs fois par jour (au cours des 7 jours précédant l'enquête)</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77"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deux fois ou plus par jour (au cours des 7 jours précédant l'enquête)</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77"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une boisson sucrée trois fois ou plus par jour (au cours des 7 jours précédant l'enquête)</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77"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DB_B_TEACHHEALTHY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à qui on a enseigné dans l'un de leurs cours qu'une alimentation saine peut les aider à être en bonne santé et forts (au cours de cette année scolaire)</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r>
      <w:tr>
        <w:trPr>
          <w:trHeight w:val="577"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se nettoyaient ou se brossaient habituellement les dents (une ou plusieurs fois par jour au cours des 30 jours précédant l'enquête)</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77"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ne se nettoyaient pas ou ne se brossaient pas les dents ou qui se nettoyaient ou se brossaient habituellement les dents moins d'une fois par jour (au cours des 30 jours précédant l'enquête)</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77"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utilisaient habituellement un dentifrice contenant du fluor (parmi les élèves qui se sont lavés ou brossés les dents au cours des 30 derniers jours)</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r>
      <w:tr>
        <w:trPr>
          <w:trHeight w:val="577"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manqué les cours ou l'école en raison d'un problème à la bouche, aux dents ou aux gencives (au cours des 30 jours précédant l'enquête)</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77"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HY_B_DENTALVISIT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dont la raison principale de leur dernière visite chez le dentiste était un contrôle ou un examen (parmi les étudiants ayant déjà été chez le dentiste)</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77"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ne se sont jamais ou rarement lavés les mains avant de manger (au cours des 30 jours précédant l'enquête)</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77"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ne se sont jamais ou rarement lavés les mains après être allés aux toilettes ou aux latrines (au cours des 30 jours précédant l'enquête)</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77"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se sont lavés les mains la plupart du temps ou toujours après avoir utilisé les toilettes ou latrines à l'école (parmi les élèves ayant eu des toilettes ou des latrines à l'école au cours des 30 jours précédant l'enquête)</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77"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n'ayant jamais ou rarement utilisé de savon pour se laver les mains (au cours des 30 jours précédant l'enquête)</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77"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HY_B_SAFETOILET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se sentent en sécurité lorsqu'ils utilisent les toilettes ou les latrines de l'école (parmi les élèves qui disposaient de toilettes ou de latrines à l'école)</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r>
      <w:tr>
        <w:trPr>
          <w:trHeight w:val="577"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été grièvement blessés (une ou plusieurs fois au cours des 12 mois précédant l'enquête)</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77"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 blessure la plus grave était un os cassé, une articulation démise, une dent cassée ou arrachée (parmi les élèves qui ont été grièvement blessés au cours des 12 mois précédant l'enquête)</w:t>
            </w:r>
          </w:p>
        </w:tc>
      </w:tr>
      <w:tr>
        <w:trPr>
          <w:trHeight w:val="564"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4"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77"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 blessure la plus grave a été causée par un accident avec un véhicule ou par un choc avec un véhicule à moteur (parmi les élèves ayant été grièvement blessés au cours des 12 mois précédant l'enquête)</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77"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agressés physiquement (une ou plusieurs fois au cours des 12 mois précédant l'enquête)</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r>
      <w:tr>
        <w:trPr>
          <w:trHeight w:val="577"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se sont bagarrés physiquement (une ou plusieurs fois au cours des 12 mois précédant l'enquête)</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r>
      <w:tr>
        <w:trPr>
          <w:trHeight w:val="577"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victimes de harcèlement dans l'enceinte de l'école (au cours des 12 mois précédant l'enquête)</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58,4</w:t>
            </w:r>
          </w:p>
        </w:tc>
      </w:tr>
      <w:tr>
        <w:trPr>
          <w:trHeight w:val="577"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été victimes de harcèlement lorsqu'ils ne se trouvaient pas dans l'enceinte de l'école (au cours des 12 mois précédant l'enquête)</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77"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été victimes de cyberharcèlement (au cours des 12 mois précédant l'enquête)</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77"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qui n'ont pas d'amis proches</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r>
      <w:tr>
        <w:trPr>
          <w:trHeight w:val="577"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qui se sont sentis seuls la plupart du temps ou toujours (au cours des 12 mois précédant l'enquête)</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r>
      <w:tr>
        <w:trPr>
          <w:trHeight w:val="577"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la plupart du temps ou toujours, étaient tellement préoccupés à propos de quelque chose qu'ils ne parvenaient pas à dormir la nuit (au cours des 12 mois précédant l'enquête)</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65,6</w:t>
            </w:r>
          </w:p>
        </w:tc>
      </w:tr>
      <w:tr>
        <w:trPr>
          <w:trHeight w:val="577"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sérieusement envisagé une tentative de suicide (au cours des 12 mois précédant l'enquête)</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77"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réfléchi à la manière de se suicider (au cours des 12 mois précédant l'enquête)</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r>
      <w:tr>
        <w:trPr>
          <w:trHeight w:val="577"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essayé de se suicider (une ou plusieurs fois au cours des 12 mois précédant l'enquête)</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77"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HY_B_TEACHSTRESS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d'élèvesqui ont appris, dans l'un de leurs cours, à gérer le stress de manière saine (au cours de cette année scolaire)</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77"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essayé ou expérimenté la cigarette (même une ou deux bouffées)</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77"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essayé de fumer une cigarette pour la première fois avant l'âge de 14 ans (parmi les élèves ayant déjà essayé de fumer une cigarette)</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r>
      <w:tr>
        <w:trPr>
          <w:trHeight w:val="577"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fumé des cigarettes (au moins 1 jour au cours des 30 jours précédant l'enquête)</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77"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ayant déclaré que quelqu'un avait refusé de leur vendre des cigarettes en raison de leur âge (parmi les étudiants ayant essayé d'acheter des cigarettes au cours des 30 jours précédant l'enquête)</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77"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consommé toute forme de produits du tabac fumés autres que les cigarettes (au moins 1 jour au cours des 30 jours précédant l'enquête)</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77"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consommé toute forme de produits du tabac sans fumée (au moins 1 jour au cours des 30 jours précédant l'enquête)</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r>
      <w:tr>
        <w:trPr>
          <w:trHeight w:val="577"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actuellement consommé un produit du tabac (au moins 1 jour au cours des 30 jours précédant l'enquête)</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91,9</w:t>
            </w:r>
          </w:p>
        </w:tc>
      </w:tr>
      <w:tr>
        <w:trPr>
          <w:trHeight w:val="577"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TO_B_TEACHTOBDANGER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appris dans l'un de leurs cours les dangers de la consommation de tabac (au cours de cette année scolaire)</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r>
      <w:tr>
        <w:trPr>
          <w:trHeight w:val="577"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ayant actuellement utilisé des cigarettes électroniques (au moins 1 jour au cours des 30 jours précédant l'enquête)</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88,4</w:t>
            </w:r>
          </w:p>
        </w:tc>
      </w:tr>
      <w:tr>
        <w:trPr>
          <w:trHeight w:val="577"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Pourcentage d'élèves qui ont vu quelqu'un fumer en leur présence (1 jour ou plus au cours des 7 jours précédant l'enquête)</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r>
      <w:tr>
        <w:trPr>
          <w:trHeight w:val="577"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MAR_AL_B_EVERDRANK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bu de l'alcool</w:t>
            </w:r>
          </w:p>
        </w:tc>
      </w:tr>
      <w:tr>
        <w:trPr>
          <w:trHeight w:val="563"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4"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77"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leur premier verre d'alcool avant l'âge de 14 ans (sauf quelques gorgées, parmi les élèves ayant déjà bu de l'alcool)</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r>
      <w:tr>
        <w:trPr>
          <w:trHeight w:val="577"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actuellement bu de l'alcool (au moins un verre contenant de l'alcool au moins 1 jour au cours des 30 jours précédant l'enquête)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77"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buvaient habituellement deux verres ou plus par jour (les jours où ils ont bu de l'alcool au cours des 30 jours précédant l'enquête, parmi les élèves ayant bu de l'alcool au cours des 30 jours précédant l'enquête)</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r>
      <w:tr>
        <w:trPr>
          <w:trHeight w:val="577"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six verres ou plus à la suite (au cours des 30 jours précédant l'enquête, parmi les élèves ayant bu de l'alcool au cours des 30 jours précédant l'enquête)</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77"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qui recevaient habituellement l'alcool qu'ils buvaient de la part de leurs amis (au cours des 30 jours précédant l'enquête, parmi les étudiants ayant bu de l'alcool au cours des 30 jours précédant l'enquête)</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77"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déjà eu des problèmes à la maison, au travail ou à l'école ou se sont battus à cause de la consommation d'alcool (une ou plusieurs fois au cours de leur vie)</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r>
      <w:tr>
        <w:trPr>
          <w:trHeight w:val="577"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fréquenté l'école sous l'influence de l'alcool (une ou plusieurs fois au cours des 12 mois précédant l'enquête)</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77"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AL_B_TELLFRIENDNO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su dire à un ami qu'ils ne voulaient pas de la boisson alcoolisée qu'ils leur proposaient</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77"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AL_B_AGEFIRSTDRUNK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bu tellement d'alcool qu'ils étaient vraiment ivres pour la première fois avant l'âge de 14 ans (parmi les élèves ayant déjà bu tellement d'alcool qu'ils étaient vraiment ivres)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r>
      <w:tr>
        <w:trPr>
          <w:trHeight w:val="577"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bu tellement d'alcool qu'ils étaient vraiment ivres (une ou plusieurs fois au cours de leur vie)</w:t>
            </w:r>
          </w:p>
        </w:tc>
      </w:tr>
      <w:tr>
        <w:trPr>
          <w:trHeight w:val="563"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4"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77"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MAR_DR_B_EVERDRUGS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consommé de la drogue</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77"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consommé de la drogue pour la première fois avant l'âge de 14 ans (parmi les élèves ayant déjà consommé de la drogue)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77"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consommé du cannabis (une ou plusieurs fois au cours de leur vie)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77"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actuellement consommé du cannabis (une ou plusieurs fois au cours des 30 jours précédant l'enquête)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r>
      <w:tr>
        <w:trPr>
          <w:trHeight w:val="577"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DR_B_INHALANT30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actuellement consommé des substances à inhaler (une ou plusieurs fois au cours des 30 jours précédant l'enquête)</w:t>
            </w:r>
          </w:p>
        </w:tc>
      </w:tr>
      <w:tr>
        <w:trPr>
          <w:trHeight w:val="563"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4"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r>
      <w:tr>
        <w:trPr>
          <w:trHeight w:val="577"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fréquenté l'école sous l'influence de drogues (une ou plusieurs fois au cours des 12 mois précédant l'enquête)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r>
      <w:tr>
        <w:trPr>
          <w:trHeight w:val="577"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DR_B_DRUGSATSCH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à qui quelqu'un leur a proposé, vendu ou donné de la drogue dans l'enceinte de l'école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85,5</w:t>
            </w:r>
          </w:p>
        </w:tc>
      </w:tr>
      <w:tr>
        <w:trPr>
          <w:trHeight w:val="577"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appris dans l'un de leurs cours les problèmes liés à la consommation de drogues (au cours de cette année scolaire)</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77"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déjà eu des relations sexuelles</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r>
      <w:tr>
        <w:trPr>
          <w:trHeight w:val="577"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eu une première relation sexuelle avant l'âge de 14 ans (parmi les élèves ayant déjà eu une relation sexuelle)</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77"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MAR_SX_B_TEACHSTIHIV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appris, dans l'un de leurs cours, à reconnaître les signes et symptômes des infections sexuellement transmissibles/sida (au cours de cette année scolaire)</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r>
      <w:tr>
        <w:trPr>
          <w:trHeight w:val="577"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SX_B_HIVINFO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s'adresseraient à leurs parents ou tuteurs s'ils voulaient en savoir plus sur l'infection par le VIH ou le sida</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r>
      <w:tr>
        <w:trPr>
          <w:trHeight w:val="577"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fait une activité physique pendant un total d'au moins 1 heure par jour pendant les 7 jours (au cours des 7 jours précédant l'enquête)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77"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fait une activité physique pendant au moins 1 heure par jour (au cours des 7 jours précédant l'enquête).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77"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fait une activité physique pendant au moins 1 heure par jour, un seul jour que ce soit (au cours des 7 jours précédant l'enquête).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77"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fait des exercices pour renforcer ou tonifier leurs muscles pendant trois jours ou plus (au cours des 7 jours précédant l'enquête)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w:t>
            </w:r>
          </w:p>
        </w:tc>
      </w:tr>
      <w:tr>
        <w:trPr>
          <w:trHeight w:val="577"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fait aucun exercice pour renforcer ou tonifier leurs muscles aucun jour (au cours des 7 jours précédant l'enquête)</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77"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ne sont pas allés à pied ou à vélo pour se rendre à l'école ou en revenir (au cours des 7 jours précédant l'enquête)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76,3</w:t>
            </w:r>
          </w:p>
        </w:tc>
      </w:tr>
      <w:tr>
        <w:trPr>
          <w:trHeight w:val="577"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n'ont pas suivi de cours d'éducation physique (chaque semaine durant cette année scolaire)</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77"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suivi des cours d'éducation physique durant trois jours ou plus (chaque semaine au cours de cette année scolaire)</w:t>
            </w:r>
          </w:p>
        </w:tc>
      </w:tr>
      <w:tr>
        <w:trPr>
          <w:trHeight w:val="564"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r>
      <w:tr>
        <w:trPr>
          <w:trHeight w:val="563"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73,9</w:t>
            </w:r>
          </w:p>
        </w:tc>
      </w:tr>
      <w:tr>
        <w:trPr>
          <w:trHeight w:val="577"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suivi des cours d'éducation physique durant cinq jours ou plus (chaque semaine au cours de cette année scolaire)</w:t>
            </w:r>
          </w:p>
        </w:tc>
      </w:tr>
      <w:tr>
        <w:trPr>
          <w:trHeight w:val="564"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4"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77"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PA_B_TEACHBENEFITSPA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appris dans l'un de leurs cours les bienfaits de l'activité physique (au cours de cette année scolaire)</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77"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passé trois heures ou plus par jour assis ou couchés (quand ils ne sont pas à l'école, ne font pas leurs devoirs ou ne dorment pas la nuit au cours d'une journée typique ou habituelle)</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r>
      <w:tr>
        <w:trPr>
          <w:trHeight w:val="577"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dormi huit à dix heures (au cours d'une nuit d'école moyenne)</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77"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dormi moins de huit heures au cours d'une nuit d'école moyenne</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77"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manqué des cours ou l'école sans permission (au moins 1 jour au cours des 30 jours précédant l'enquête)</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77"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la plupart des élèves de leur école étaient la plupart du temps ou toujours gentils et serviables (au cours des 30 jours précédant l'enquête)</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77"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la plupart des élèves de leur école n'étaient jamais ou rarement gentils et serviables (au cours des 30 jours précédant l'enquête)</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77"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être capables de parler à quelqu'un la plupart du temps ou toujours de problèmes difficiles et de préoccupations (au cours des 30 jours précédant l'enquête)</w:t>
            </w:r>
          </w:p>
        </w:tc>
      </w:tr>
      <w:tr>
        <w:trPr>
          <w:trHeight w:val="563"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64"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r>
      <w:tr>
        <w:trPr>
          <w:trHeight w:val="577"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Pourcentage d'élèves ayant déclaré qu'ils n'étaient jamais ou rarement capables de parler à quelqu'un de problèmes difficiles et de préoccupations (au cours des 30 jours précédant l'enquête)</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r>
      <w:tr>
        <w:trPr>
          <w:trHeight w:val="577"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comprenaient la plupart du temps ou toujours leurs problèmes et leurs préoccupations (au cours des 30 jours précédant l'enquête)</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77"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n'ont jamais ou rarement compris leurs problèmes et leurs préoccupations (au cours des 30 jours précédant l'enquête)</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r>
      <w:tr>
        <w:trPr>
          <w:trHeight w:val="577"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vérifiaient la plupart du temps ou toujours si leurs devoirs étaient faits (au cours des 30 jours précédant l'enquête)</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r>
      <w:tr>
        <w:trPr>
          <w:trHeight w:val="577"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ne vérifiaient jamais ou rarement si leurs devoirs étaient faits (au cours des 30 jours précédant l'enquête)</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77"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savaient la plupart du temps ou toujours vraiment ce qu'ils faisaient de leur temps libre (au cours des 30 jours précédant l'enquête)</w:t>
            </w:r>
          </w:p>
        </w:tc>
      </w:tr>
      <w:tr>
        <w:trPr>
          <w:trHeight w:val="564"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4"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77"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ne savaient jamais ou rarement vraiment ce qu'ils faisaient de leur temps libre (au cours des 30 jours précédant l'enquête)</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77"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ayant déclaré que leurs parents ou tuteurs ne fouillaient jamais ou rarement leurs affaires sans leur permission (au cours des 30 jours précédant l'enquête)</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77"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la plupart du temps ou toujours fouillaient dans leurs affaires sans leur permission (au cours des 30 jours précédant l'enquête)</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r>
      <w:tr>
        <w:trPr>
          <w:trHeight w:val="577"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PF_B_PARADVICE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déclaré que leurs parents ou tuteurs leur donnaient la plupart du temps ou toujours des conseils et des orientations (au cours des 30 jours précédant l'enquête)</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77"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d'étudiants qui ont utilisé leur téléphone portable pour être sur les réseaux sociaux, pour communiquer en ligne ou pour naviguer sur Internet trois heures ou plus par jour (parmi les étudiants qui avaient un téléphone portable au cours des 7 jours précédant l'enquête)</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77"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OT_B_COVIDMASK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pendant la pandémie de COVID-19, portaient la plupart du temps ou toujours un masque ou une autre protection faciale pour se protéger ou protéger les autres du COVID-19 lorsqu'ils étaient en public (pendant la pandémie de COVID-19)</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77"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Pourcentage d'élèves qui ont fréquenté l'école à partir d leur domicile au moins une partie du temps en utilisant un ordinateur, un téléphone portable ou un autre appareil électronique (pendant la pandémie de COVID-19)</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77"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Pourcentage d'élèves ayant pratiqué en moyenne au moins 60 minutes par jour d'activité physique au cours des 7 derniers jours (au cours des 7 jours précédant l'enquête)</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r>
      <w:tr>
        <w:trPr>
          <w:trHeight w:val="577"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Manquant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42E8" w14:textId="77777777" w:rsidR="00BF7B23" w:rsidRDefault="00BF7B23" w:rsidP="0087117D">
      <w:r>
        <w:separator/>
      </w:r>
    </w:p>
  </w:endnote>
  <w:endnote w:type="continuationSeparator" w:id="0">
    <w:p w14:paraId="1D71A372" w14:textId="77777777" w:rsidR="00BF7B23" w:rsidRDefault="00BF7B23"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A051D" w14:textId="77777777" w:rsidR="00102262" w:rsidRDefault="0010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9499" w14:textId="77777777" w:rsidR="00BF7B23" w:rsidRDefault="00BF7B23" w:rsidP="0087117D">
      <w:r>
        <w:separator/>
      </w:r>
    </w:p>
  </w:footnote>
  <w:footnote w:type="continuationSeparator" w:id="0">
    <w:p w14:paraId="691DB6DA" w14:textId="77777777" w:rsidR="00BF7B23" w:rsidRDefault="00BF7B23"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C435" w14:textId="77777777" w:rsidR="00102262" w:rsidRDefault="00102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5D0B93B" w:rsidR="00EB37F6" w:rsidRPr="009603E4" w:rsidRDefault="002E56D5" w:rsidP="00102262">
    <w:pPr>
      <w:pStyle w:val="NormalWeb"/>
      <w:spacing w:before="0" w:beforeAutospacing="0" w:after="0" w:afterAutospacing="0"/>
      <w:jc w:val="center"/>
      <w:rPr>
        <w:rFonts w:ascii="Source Sans Pro" w:hAnsi="Source Sans Pro"/>
        <w:b/>
        <w:bCs/>
        <w:color w:val="4460A3"/>
        <w:sz w:val="20"/>
        <w:szCs w:val="20"/>
      </w:rPr>
    </w:pPr>
    <w:proofErr w:type="spellStart"/>
    <w:r w:rsidRPr="0017799D">
      <w:rPr>
        <w:rFonts w:ascii="Source Sans Pro" w:hAnsi="Source Sans Pro"/>
        <w:b/>
        <w:bCs/>
        <w:color w:val="4460A3"/>
        <w:sz w:val="20"/>
        <w:szCs w:val="20"/>
      </w:rPr>
      <w:t>Résultats</w:t>
    </w:r>
    <w:proofErr w:type="spellEnd"/>
    <w:r w:rsidRPr="0017799D">
      <w:rPr>
        <w:rFonts w:ascii="Source Sans Pro" w:hAnsi="Source Sans Pro"/>
        <w:b/>
        <w:bCs/>
        <w:color w:val="4460A3"/>
        <w:sz w:val="20"/>
        <w:szCs w:val="20"/>
      </w:rPr>
      <w:t xml:space="preserve"> de </w:t>
    </w:r>
    <w:proofErr w:type="spellStart"/>
    <w:r w:rsidRPr="0017799D">
      <w:rPr>
        <w:rFonts w:ascii="Source Sans Pro" w:hAnsi="Source Sans Pro"/>
        <w:b/>
        <w:bCs/>
        <w:color w:val="4460A3"/>
        <w:sz w:val="20"/>
        <w:szCs w:val="20"/>
      </w:rPr>
      <w:t>l’Enquête</w:t>
    </w:r>
    <w:proofErr w:type="spellEnd"/>
    <w:r w:rsidRPr="0017799D">
      <w:rPr>
        <w:rFonts w:ascii="Source Sans Pro" w:hAnsi="Source Sans Pro"/>
        <w:b/>
        <w:bCs/>
        <w:color w:val="4460A3"/>
        <w:sz w:val="20"/>
        <w:szCs w:val="20"/>
      </w:rPr>
      <w:t xml:space="preserve"> </w:t>
    </w:r>
    <w:proofErr w:type="spellStart"/>
    <w:r w:rsidRPr="0017799D">
      <w:rPr>
        <w:rFonts w:ascii="Source Sans Pro" w:hAnsi="Source Sans Pro"/>
        <w:b/>
        <w:bCs/>
        <w:color w:val="4460A3"/>
        <w:sz w:val="20"/>
        <w:szCs w:val="20"/>
      </w:rPr>
      <w:t>mondiale</w:t>
    </w:r>
    <w:proofErr w:type="spellEnd"/>
    <w:r w:rsidRPr="0017799D">
      <w:rPr>
        <w:rFonts w:ascii="Source Sans Pro" w:hAnsi="Source Sans Pro"/>
        <w:b/>
        <w:bCs/>
        <w:color w:val="4460A3"/>
        <w:sz w:val="20"/>
        <w:szCs w:val="20"/>
      </w:rPr>
      <w:t xml:space="preserve"> </w:t>
    </w:r>
    <w:proofErr w:type="spellStart"/>
    <w:r w:rsidRPr="0017799D">
      <w:rPr>
        <w:rFonts w:ascii="Source Sans Pro" w:hAnsi="Source Sans Pro"/>
        <w:b/>
        <w:bCs/>
        <w:color w:val="4460A3"/>
        <w:sz w:val="20"/>
        <w:szCs w:val="20"/>
      </w:rPr>
      <w:t>en</w:t>
    </w:r>
    <w:proofErr w:type="spellEnd"/>
    <w:r w:rsidRPr="0017799D">
      <w:rPr>
        <w:rFonts w:ascii="Source Sans Pro" w:hAnsi="Source Sans Pro"/>
        <w:b/>
        <w:bCs/>
        <w:color w:val="4460A3"/>
        <w:sz w:val="20"/>
        <w:szCs w:val="20"/>
      </w:rPr>
      <w:t xml:space="preserve"> milieu </w:t>
    </w:r>
    <w:proofErr w:type="spellStart"/>
    <w:r w:rsidRPr="0017799D">
      <w:rPr>
        <w:rFonts w:ascii="Source Sans Pro" w:hAnsi="Source Sans Pro"/>
        <w:b/>
        <w:bCs/>
        <w:color w:val="4460A3"/>
        <w:sz w:val="20"/>
        <w:szCs w:val="20"/>
      </w:rPr>
      <w:t>scolaire</w:t>
    </w:r>
    <w:proofErr w:type="spellEnd"/>
    <w:r w:rsidRPr="0017799D">
      <w:rPr>
        <w:rFonts w:ascii="Source Sans Pro" w:hAnsi="Source Sans Pro"/>
        <w:b/>
        <w:bCs/>
        <w:color w:val="4460A3"/>
        <w:sz w:val="20"/>
        <w:szCs w:val="20"/>
      </w:rPr>
      <w:t xml:space="preserve"> sur la </w:t>
    </w:r>
    <w:proofErr w:type="spellStart"/>
    <w:r w:rsidRPr="0017799D">
      <w:rPr>
        <w:rFonts w:ascii="Source Sans Pro" w:hAnsi="Source Sans Pro"/>
        <w:b/>
        <w:bCs/>
        <w:color w:val="4460A3"/>
        <w:sz w:val="20"/>
        <w:szCs w:val="20"/>
      </w:rPr>
      <w:t>santé</w:t>
    </w:r>
    <w:proofErr w:type="spellEnd"/>
    <w:r w:rsidRPr="0017799D">
      <w:rPr>
        <w:rFonts w:ascii="Source Sans Pro" w:hAnsi="Source Sans Pro"/>
        <w:b/>
        <w:bCs/>
        <w:color w:val="4460A3"/>
        <w:sz w:val="20"/>
        <w:szCs w:val="20"/>
      </w:rPr>
      <w:t xml:space="preserve"> des </w:t>
    </w:r>
    <w:proofErr w:type="spellStart"/>
    <w:r w:rsidRPr="0017799D">
      <w:rPr>
        <w:rFonts w:ascii="Source Sans Pro" w:hAnsi="Source Sans Pro"/>
        <w:b/>
        <w:bCs/>
        <w:color w:val="4460A3"/>
        <w:sz w:val="20"/>
        <w:szCs w:val="20"/>
      </w:rPr>
      <w:t>élèves</w:t>
    </w:r>
    <w:proofErr w:type="spellEnd"/>
    <w:r w:rsidRPr="0017799D">
      <w:rPr>
        <w:rFonts w:ascii="Source Sans Pro" w:hAnsi="Source Sans Pro"/>
        <w:b/>
        <w:bCs/>
        <w:color w:val="4460A3"/>
        <w:sz w:val="20"/>
        <w:szCs w:val="20"/>
      </w:rPr>
      <w:t xml:space="preserve"> </w:t>
    </w:r>
    <w:r>
      <w:rPr>
        <w:rFonts w:ascii="Source Sans Pro" w:hAnsi="Source Sans Pro"/>
        <w:b/>
        <w:bCs/>
        <w:color w:val="4460A3"/>
        <w:sz w:val="20"/>
        <w:szCs w:val="20"/>
      </w:rPr>
      <w:t xml:space="preserve">note de </w:t>
    </w:r>
    <w:proofErr w:type="spellStart"/>
    <w:r>
      <w:rPr>
        <w:rFonts w:ascii="Source Sans Pro" w:hAnsi="Source Sans Pro"/>
        <w:b/>
        <w:bCs/>
        <w:color w:val="4460A3"/>
        <w:sz w:val="20"/>
        <w:szCs w:val="20"/>
      </w:rPr>
      <w:t>synth</w:t>
    </w:r>
    <w:r w:rsidRPr="0017799D">
      <w:rPr>
        <w:rFonts w:ascii="Source Sans Pro" w:hAnsi="Source Sans Pro"/>
        <w:b/>
        <w:bCs/>
        <w:color w:val="4460A3"/>
        <w:sz w:val="20"/>
        <w:szCs w:val="20"/>
      </w:rPr>
      <w:t>è</w:t>
    </w:r>
    <w:r>
      <w:rPr>
        <w:rFonts w:ascii="Source Sans Pro" w:hAnsi="Source Sans Pro"/>
        <w:b/>
        <w:bCs/>
        <w:color w:val="4460A3"/>
        <w:sz w:val="20"/>
        <w:szCs w:val="20"/>
      </w:rPr>
      <w:t>se</w:t>
    </w:r>
    <w:proofErr w:type="spellEnd"/>
    <w:r>
      <w:rPr>
        <w:rFonts w:ascii="Source Sans Pro" w:hAnsi="Source Sans Pro"/>
        <w:b/>
        <w:bCs/>
        <w:color w:val="4460A3"/>
        <w:sz w:val="20"/>
        <w:szCs w:val="20"/>
      </w:rPr>
      <w:t xml:space="preserve"> </w:t>
    </w:r>
    <w:bookmarkStart w:id="1" w:name="year"/>
    <w:proofErr w:type="gramStart"/>
    <w:r w:rsidR="00AA1A44">
      <w:rPr>
        <w:rFonts w:ascii="Source Sans Pro" w:hAnsi="Source Sans Pro"/>
        <w:b/>
        <w:bCs/>
        <w:color w:val="4460A3"/>
        <w:sz w:val="20"/>
        <w:szCs w:val="20"/>
      </w:rPr>
      <w:t>2023</w:t>
    </w:r>
    <w:bookmarkEnd w:id="1"/>
    <w:proofErr w:type="gramEnd"/>
  </w:p>
  <w:p w14:paraId="08D8B38C" w14:textId="46C0C645" w:rsidR="00712DCF" w:rsidRPr="00CF554D" w:rsidRDefault="00AF4D3F" w:rsidP="00102262">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Maroc (Fès)</w:t>
    </w:r>
    <w:bookmarkEnd w:id="2"/>
  </w:p>
  <w:p w14:paraId="0F96BDA9" w14:textId="16F053D5" w:rsidR="0087117D" w:rsidRPr="00CF554D" w:rsidRDefault="002166EF" w:rsidP="00102262">
    <w:pPr>
      <w:pStyle w:val="NormalWeb"/>
      <w:shd w:val="clear" w:color="auto" w:fill="FFFFFF"/>
      <w:spacing w:before="0" w:beforeAutospacing="0" w:after="0" w:afterAutospacing="0"/>
      <w:jc w:val="center"/>
      <w:rPr>
        <w:rFonts w:ascii="Source Sans Pro" w:hAnsi="Source Sans Pro"/>
        <w:b/>
        <w:bCs/>
        <w:sz w:val="20"/>
        <w:szCs w:val="20"/>
      </w:rPr>
    </w:pPr>
    <w:r>
      <w:rPr>
        <w:rFonts w:ascii="Source Sans Pro" w:hAnsi="Source Sans Pro"/>
        <w:b/>
        <w:bCs/>
        <w:sz w:val="20"/>
        <w:szCs w:val="20"/>
      </w:rPr>
      <w:t>Livre de codes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2E8E" w14:textId="77777777" w:rsidR="00102262" w:rsidRDefault="00102262">
    <w:pPr>
      <w:pStyle w:val="Header"/>
    </w:pPr>
  </w:p>
</w:hdr>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27</cp:revision>
  <dcterms:created xsi:type="dcterms:W3CDTF">2022-12-06T04:13:00Z</dcterms:created>
  <dcterms:modified xsi:type="dcterms:W3CDTF">2023-11-16T00:56:05Z</dcterms:modified>
</cp:coreProperties>
</file>