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E08F" w14:textId="77777777" w:rsidR="009E1FD4" w:rsidRPr="00766486" w:rsidRDefault="009E1FD4" w:rsidP="009E1FD4">
      <w:pPr>
        <w:pStyle w:val="Heading1"/>
        <w:rPr>
          <w:rFonts w:ascii="Source Sans Pro" w:hAnsi="Source Sans Pro"/>
          <w:sz w:val="20"/>
        </w:rPr>
      </w:pPr>
      <w:proofErr w:type="spellStart"/>
      <w:r w:rsidRPr="00766486">
        <w:rPr>
          <w:rFonts w:ascii="Source Sans Pro" w:hAnsi="Source Sans Pro"/>
          <w:sz w:val="20"/>
        </w:rPr>
        <w:t>Enquête</w:t>
      </w:r>
      <w:proofErr w:type="spellEnd"/>
      <w:r w:rsidRPr="00766486">
        <w:rPr>
          <w:rFonts w:ascii="Source Sans Pro" w:hAnsi="Source Sans Pro"/>
          <w:sz w:val="20"/>
        </w:rPr>
        <w:t xml:space="preserve"> </w:t>
      </w:r>
      <w:bookmarkStart w:id="0" w:name="country"/>
      <w:r>
        <w:rPr>
          <w:rFonts w:ascii="Source Sans Pro" w:hAnsi="Source Sans Pro"/>
          <w:sz w:val="20"/>
        </w:rPr>
        <w:t>country</w:t>
      </w:r>
      <w:bookmarkEnd w:id="0"/>
    </w:p>
    <w:p w14:paraId="1290BFD8" w14:textId="77777777" w:rsidR="009E1FD4" w:rsidRPr="00766486" w:rsidRDefault="009E1FD4" w:rsidP="009E1FD4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 xml:space="preserve">Description de </w:t>
      </w:r>
      <w:proofErr w:type="spellStart"/>
      <w:r w:rsidRPr="00766486">
        <w:rPr>
          <w:rFonts w:ascii="Source Sans Pro" w:hAnsi="Source Sans Pro"/>
          <w:sz w:val="20"/>
        </w:rPr>
        <w:t>l'échantillon</w:t>
      </w:r>
      <w:proofErr w:type="spellEnd"/>
      <w:r w:rsidRPr="00766486">
        <w:rPr>
          <w:rFonts w:ascii="Source Sans Pro" w:hAnsi="Source Sans Pro"/>
          <w:sz w:val="20"/>
        </w:rPr>
        <w:t xml:space="preserve"> et </w:t>
      </w:r>
      <w:proofErr w:type="spellStart"/>
      <w:r w:rsidRPr="00766486">
        <w:rPr>
          <w:rFonts w:ascii="Source Sans Pro" w:hAnsi="Source Sans Pro"/>
          <w:sz w:val="20"/>
        </w:rPr>
        <w:t>procédures</w:t>
      </w:r>
      <w:proofErr w:type="spellEnd"/>
      <w:r w:rsidRPr="00766486">
        <w:rPr>
          <w:rFonts w:ascii="Source Sans Pro" w:hAnsi="Source Sans Pro"/>
          <w:sz w:val="20"/>
        </w:rPr>
        <w:t xml:space="preserve"> de </w:t>
      </w:r>
      <w:proofErr w:type="spellStart"/>
      <w:r w:rsidRPr="00766486">
        <w:rPr>
          <w:rFonts w:ascii="Source Sans Pro" w:hAnsi="Source Sans Pro"/>
          <w:sz w:val="20"/>
        </w:rPr>
        <w:t>pondération</w:t>
      </w:r>
      <w:proofErr w:type="spellEnd"/>
    </w:p>
    <w:p w14:paraId="0C932D5E" w14:textId="412FB6D6" w:rsidR="00284227" w:rsidRDefault="00C72247" w:rsidP="00284227">
      <w:r>
        <w:rPr>
          <w:noProof/>
        </w:rPr>
        <w:pict w14:anchorId="3CF13918">
          <v:line id="Straight Connector 1" o:spid="_x0000_s2050" style="position:absolute;z-index:1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" strokecolor="#4472c4" strokeweight="1.07pt">
            <v:stroke joinstyle="miter"/>
          </v:line>
        </w:pict>
      </w:r>
    </w:p>
    <w:p w14:paraId="23B85D22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 xml:space="preserve">Description de </w:t>
      </w: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l'échantillon</w:t>
      </w:r>
      <w:proofErr w:type="spellEnd"/>
    </w:p>
    <w:p w14:paraId="72D99D72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Niveau</w:t>
      </w:r>
      <w:proofErr w:type="spellEnd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scolaire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-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Toutes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les écoles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contenant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élèves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</w:t>
      </w:r>
      <w:bookmarkStart w:id="1" w:name="bk1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bk1</w:t>
      </w:r>
      <w:bookmarkEnd w:id="1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ont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incluses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dans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l'échantillon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.</w:t>
      </w:r>
    </w:p>
    <w:p w14:paraId="217A02D2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Niveau</w:t>
      </w:r>
      <w:proofErr w:type="spellEnd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classe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-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Toutes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les classes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dont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majorité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élèves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étaient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en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bookmarkStart w:id="2" w:name="bk3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bk3</w:t>
      </w:r>
      <w:bookmarkEnd w:id="2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ont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incluses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dans la base de sondage.</w:t>
      </w:r>
    </w:p>
    <w:p w14:paraId="60CAF50C" w14:textId="4AF3D776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Taux</w:t>
      </w:r>
      <w:proofErr w:type="spellEnd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réponse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:</w:t>
      </w:r>
    </w:p>
    <w:p w14:paraId="6527C77E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Écoles</w:t>
      </w:r>
      <w:r w:rsidRPr="003C57DE">
        <w:rPr>
          <w:rFonts w:ascii="Helvetica Neue" w:hAnsi="Helvetica Neue"/>
          <w:color w:val="1F1F1F"/>
          <w:sz w:val="20"/>
          <w:szCs w:val="20"/>
        </w:rPr>
        <w:t xml:space="preserve"> - </w:t>
      </w:r>
      <w:bookmarkStart w:id="3" w:name="bk4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bk4</w:t>
      </w:r>
      <w:bookmarkEnd w:id="3"/>
      <w:r w:rsidRPr="003C57DE">
        <w:rPr>
          <w:rFonts w:ascii="Helvetica Neue" w:hAnsi="Helvetica Neue"/>
          <w:color w:val="1F1F1F"/>
          <w:sz w:val="20"/>
          <w:szCs w:val="20"/>
        </w:rPr>
        <w:t xml:space="preserve"> écoles sur les </w:t>
      </w:r>
      <w:bookmarkStart w:id="4" w:name="bk5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bk5</w:t>
      </w:r>
      <w:bookmarkEnd w:id="4"/>
      <w:r w:rsidRPr="003C57DE">
        <w:rPr>
          <w:rFonts w:ascii="Helvetica Neue" w:hAnsi="Helvetica Neue"/>
          <w:color w:val="1F1F1F"/>
          <w:sz w:val="20"/>
          <w:szCs w:val="20"/>
        </w:rPr>
        <w:t xml:space="preserve"> écoles </w:t>
      </w:r>
      <w:bookmarkStart w:id="5" w:name="bk6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bk6</w:t>
      </w:r>
      <w:bookmarkEnd w:id="5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échantillonnées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ont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participé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.</w:t>
      </w:r>
    </w:p>
    <w:p w14:paraId="421D0976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Élèves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- </w:t>
      </w:r>
      <w:bookmarkStart w:id="6" w:name="bk7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bk7</w:t>
      </w:r>
      <w:bookmarkEnd w:id="6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élèves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sur les </w:t>
      </w:r>
      <w:bookmarkStart w:id="7" w:name="bk8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bk8</w:t>
      </w:r>
      <w:bookmarkEnd w:id="7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élèves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bookmarkStart w:id="8" w:name="bk9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bk9</w:t>
      </w:r>
      <w:bookmarkEnd w:id="8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échantillonnés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ont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complété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les questionnaires. </w:t>
      </w:r>
      <w:bookmarkStart w:id="9" w:name="bk10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bk10</w:t>
      </w:r>
      <w:bookmarkEnd w:id="9"/>
      <w:r w:rsidRPr="003C57DE">
        <w:rPr>
          <w:rFonts w:ascii="Helvetica Neue" w:hAnsi="Helvetica Neue"/>
          <w:color w:val="1F1F1F"/>
          <w:sz w:val="20"/>
          <w:szCs w:val="20"/>
        </w:rPr>
        <w:t xml:space="preserve"> questionnaires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ont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utilisables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après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l'édition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données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.</w:t>
      </w:r>
    </w:p>
    <w:p w14:paraId="6F00C1CA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Taux</w:t>
      </w:r>
      <w:proofErr w:type="spellEnd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réponse</w:t>
      </w:r>
      <w:proofErr w:type="spellEnd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 xml:space="preserve"> global</w:t>
      </w:r>
      <w:r w:rsidRPr="003C57DE">
        <w:rPr>
          <w:rFonts w:ascii="Helvetica Neue" w:hAnsi="Helvetica Neue"/>
          <w:color w:val="1F1F1F"/>
          <w:sz w:val="20"/>
          <w:szCs w:val="20"/>
        </w:rPr>
        <w:t xml:space="preserve"> - </w:t>
      </w:r>
      <w:bookmarkStart w:id="10" w:name="bk11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bk11</w:t>
      </w:r>
      <w:bookmarkEnd w:id="10"/>
    </w:p>
    <w:p w14:paraId="0B175EFE" w14:textId="14347DE4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proofErr w:type="spellStart"/>
      <w:r w:rsidRPr="003C57DE">
        <w:rPr>
          <w:rStyle w:val="Strong"/>
          <w:rFonts w:ascii="Helvetica Neue" w:hAnsi="Helvetica Neue"/>
          <w:color w:val="1F1F1F"/>
          <w:sz w:val="20"/>
          <w:szCs w:val="20"/>
        </w:rPr>
        <w:t>Pondération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:</w:t>
      </w:r>
    </w:p>
    <w:p w14:paraId="1AA3EC73" w14:textId="3CCE4069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Fonts w:ascii="Helvetica Neue" w:hAnsi="Helvetica Neue"/>
          <w:color w:val="1F1F1F"/>
          <w:sz w:val="20"/>
          <w:szCs w:val="20"/>
        </w:rPr>
        <w:t xml:space="preserve">Un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poids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attribué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à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chaque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questionnaire pour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refléter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probabilité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d'échantillonnage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chaque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élève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et pour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réduire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biais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en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compensant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différents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schémas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non-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réponse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. Le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poids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utilisé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pour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l'estimation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est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donné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par:</w:t>
      </w:r>
    </w:p>
    <w:p w14:paraId="1DB2B7C5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W = W1 * W2 * f1 * f2 * f3</w:t>
      </w:r>
    </w:p>
    <w:p w14:paraId="6C40B8AF" w14:textId="4F89D8E8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W1</w:t>
      </w:r>
      <w:r w:rsidRPr="003C57DE">
        <w:rPr>
          <w:rFonts w:ascii="Helvetica Neue" w:hAnsi="Helvetica Neue"/>
          <w:color w:val="1F1F1F"/>
          <w:sz w:val="20"/>
          <w:szCs w:val="20"/>
        </w:rPr>
        <w:t xml:space="preserve"> =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l'inverse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la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probabilité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sélectionner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proofErr w:type="gramStart"/>
      <w:r w:rsidRPr="003C57DE">
        <w:rPr>
          <w:rFonts w:ascii="Helvetica Neue" w:hAnsi="Helvetica Neue"/>
          <w:color w:val="1F1F1F"/>
          <w:sz w:val="20"/>
          <w:szCs w:val="20"/>
        </w:rPr>
        <w:t>l'école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;</w:t>
      </w:r>
      <w:proofErr w:type="gramEnd"/>
    </w:p>
    <w:p w14:paraId="09FA13A7" w14:textId="7653112C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W2</w:t>
      </w:r>
      <w:r w:rsidRPr="003C57DE">
        <w:rPr>
          <w:rFonts w:ascii="Helvetica Neue" w:hAnsi="Helvetica Neue"/>
          <w:color w:val="1F1F1F"/>
          <w:sz w:val="20"/>
          <w:szCs w:val="20"/>
        </w:rPr>
        <w:t xml:space="preserve"> =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l'inverse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la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probabilité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sélectionner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classe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au sein de </w:t>
      </w:r>
      <w:proofErr w:type="spellStart"/>
      <w:proofErr w:type="gramStart"/>
      <w:r w:rsidRPr="003C57DE">
        <w:rPr>
          <w:rFonts w:ascii="Helvetica Neue" w:hAnsi="Helvetica Neue"/>
          <w:color w:val="1F1F1F"/>
          <w:sz w:val="20"/>
          <w:szCs w:val="20"/>
        </w:rPr>
        <w:t>l'école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;</w:t>
      </w:r>
      <w:proofErr w:type="gramEnd"/>
    </w:p>
    <w:p w14:paraId="59D0ADBB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f1</w:t>
      </w:r>
      <w:r w:rsidRPr="003C57DE">
        <w:rPr>
          <w:rFonts w:ascii="Helvetica Neue" w:hAnsi="Helvetica Neue"/>
          <w:color w:val="1F1F1F"/>
          <w:sz w:val="20"/>
          <w:szCs w:val="20"/>
        </w:rPr>
        <w:t xml:space="preserve"> = un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facteur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d'ajustement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la non-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réponse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au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niveau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l'école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calculé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par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catégorie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taille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d'école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(petite,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moyenne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,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grande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). Le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facteur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calculé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en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fonction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l'effectif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scolaire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plutôt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que du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nombre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d'écoles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.</w:t>
      </w:r>
    </w:p>
    <w:p w14:paraId="35A5C463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f2</w:t>
      </w:r>
      <w:r w:rsidRPr="003C57DE">
        <w:rPr>
          <w:rFonts w:ascii="Helvetica Neue" w:hAnsi="Helvetica Neue"/>
          <w:color w:val="1F1F1F"/>
          <w:sz w:val="20"/>
          <w:szCs w:val="20"/>
        </w:rPr>
        <w:t xml:space="preserve"> = un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facteur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d'ajustement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la non-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réponse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au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niveau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élèves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calculé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par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classe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.</w:t>
      </w:r>
    </w:p>
    <w:p w14:paraId="336BE18F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f3</w:t>
      </w:r>
      <w:r w:rsidRPr="003C57DE">
        <w:rPr>
          <w:rFonts w:ascii="Helvetica Neue" w:hAnsi="Helvetica Neue"/>
          <w:color w:val="1F1F1F"/>
          <w:sz w:val="20"/>
          <w:szCs w:val="20"/>
        </w:rPr>
        <w:t xml:space="preserve"> = un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facteur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d'ajustement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la poststratification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calculé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par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niveau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scolaire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.</w:t>
      </w:r>
    </w:p>
    <w:p w14:paraId="4CB8EB63" w14:textId="6BC6BD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 xml:space="preserve">Utilisation des </w:t>
      </w:r>
      <w:proofErr w:type="spellStart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résultats</w:t>
      </w:r>
      <w:proofErr w:type="spellEnd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pondérés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>:</w:t>
      </w:r>
    </w:p>
    <w:p w14:paraId="6D2B16E5" w14:textId="77777777" w:rsidR="003C57DE" w:rsidRPr="003C57DE" w:rsidRDefault="003C57DE" w:rsidP="003C57DE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  <w:sz w:val="20"/>
          <w:szCs w:val="20"/>
        </w:rPr>
      </w:pPr>
      <w:r w:rsidRPr="003C57DE">
        <w:rPr>
          <w:rFonts w:ascii="Helvetica Neue" w:hAnsi="Helvetica Neue"/>
          <w:color w:val="1F1F1F"/>
          <w:sz w:val="20"/>
          <w:szCs w:val="20"/>
        </w:rPr>
        <w:t xml:space="preserve">Les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résultats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pondérés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peuvent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être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utilisés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pour faire des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inférences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importantes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sur les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comportements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prioritaires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en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matière de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risque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pour la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santé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et les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facteurs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protection de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tous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les </w:t>
      </w:r>
      <w:proofErr w:type="spellStart"/>
      <w:r w:rsidRPr="003C57DE">
        <w:rPr>
          <w:rFonts w:ascii="Helvetica Neue" w:hAnsi="Helvetica Neue"/>
          <w:color w:val="1F1F1F"/>
          <w:sz w:val="20"/>
          <w:szCs w:val="20"/>
        </w:rPr>
        <w:t>élèves</w:t>
      </w:r>
      <w:proofErr w:type="spellEnd"/>
      <w:r w:rsidRPr="003C57DE">
        <w:rPr>
          <w:rFonts w:ascii="Helvetica Neue" w:hAnsi="Helvetica Neue"/>
          <w:color w:val="1F1F1F"/>
          <w:sz w:val="20"/>
          <w:szCs w:val="20"/>
        </w:rPr>
        <w:t xml:space="preserve"> de </w:t>
      </w:r>
      <w:bookmarkStart w:id="11" w:name="bk12"/>
      <w:r w:rsidRPr="003C57DE">
        <w:rPr>
          <w:rStyle w:val="Strong"/>
          <w:rFonts w:ascii="Helvetica Neue" w:hAnsi="Helvetica Neue"/>
          <w:b w:val="0"/>
          <w:bCs w:val="0"/>
          <w:color w:val="1F1F1F"/>
          <w:sz w:val="20"/>
          <w:szCs w:val="20"/>
        </w:rPr>
        <w:t>bk12</w:t>
      </w:r>
      <w:bookmarkEnd w:id="11"/>
      <w:r w:rsidRPr="003C57DE">
        <w:rPr>
          <w:rStyle w:val="animating"/>
          <w:rFonts w:ascii="Helvetica Neue" w:hAnsi="Helvetica Neue"/>
          <w:color w:val="1F1F1F"/>
          <w:sz w:val="20"/>
          <w:szCs w:val="20"/>
        </w:rPr>
        <w:t>.</w:t>
      </w:r>
    </w:p>
    <w:p w14:paraId="576A8AEC" w14:textId="033858EE" w:rsidR="00D34AF3" w:rsidRPr="003C57DE" w:rsidRDefault="00D34AF3" w:rsidP="003C57DE">
      <w:pPr>
        <w:pStyle w:val="N4"/>
        <w:rPr>
          <w:rFonts w:ascii="Source Sans Pro" w:hAnsi="Source Sans Pro" w:cs="Arial"/>
          <w:sz w:val="20"/>
        </w:rPr>
      </w:pPr>
    </w:p>
    <w:sectPr w:rsidR="00D34AF3" w:rsidRPr="003C57DE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3DBD" w14:textId="77777777" w:rsidR="00C72247" w:rsidRDefault="00C72247">
      <w:r>
        <w:separator/>
      </w:r>
    </w:p>
  </w:endnote>
  <w:endnote w:type="continuationSeparator" w:id="0">
    <w:p w14:paraId="486166DD" w14:textId="77777777" w:rsidR="00C72247" w:rsidRDefault="00C7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54C6" w14:textId="77777777" w:rsidR="00C72247" w:rsidRDefault="00C72247">
      <w:r>
        <w:separator/>
      </w:r>
    </w:p>
  </w:footnote>
  <w:footnote w:type="continuationSeparator" w:id="0">
    <w:p w14:paraId="4938AAB9" w14:textId="77777777" w:rsidR="00C72247" w:rsidRDefault="00C72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032D02DD" w:rsidR="000D1F67" w:rsidRPr="0004174F" w:rsidRDefault="0004174F" w:rsidP="0004174F">
    <w:pPr>
      <w:pStyle w:val="Header"/>
    </w:pPr>
    <w:proofErr w:type="spellStart"/>
    <w:r w:rsidRPr="0017799D">
      <w:rPr>
        <w:rFonts w:ascii="Source Sans Pro" w:hAnsi="Source Sans Pro"/>
        <w:b/>
        <w:bCs/>
        <w:color w:val="4460A3"/>
        <w:sz w:val="20"/>
      </w:rPr>
      <w:t>Résultats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de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l’Enquête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mondiale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en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milieu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scolaire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sur la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santé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des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élèves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r>
      <w:rPr>
        <w:rFonts w:ascii="Source Sans Pro" w:hAnsi="Source Sans Pro"/>
        <w:b/>
        <w:bCs/>
        <w:color w:val="4460A3"/>
        <w:sz w:val="20"/>
      </w:rPr>
      <w:t xml:space="preserve">note de </w:t>
    </w:r>
    <w:proofErr w:type="spellStart"/>
    <w:r>
      <w:rPr>
        <w:rFonts w:ascii="Source Sans Pro" w:hAnsi="Source Sans Pro"/>
        <w:b/>
        <w:bCs/>
        <w:color w:val="4460A3"/>
        <w:sz w:val="20"/>
      </w:rPr>
      <w:t>synth</w:t>
    </w:r>
    <w:r w:rsidRPr="0017799D">
      <w:rPr>
        <w:rFonts w:ascii="Source Sans Pro" w:hAnsi="Source Sans Pro"/>
        <w:b/>
        <w:bCs/>
        <w:color w:val="4460A3"/>
        <w:sz w:val="20"/>
      </w:rPr>
      <w:t>è</w:t>
    </w:r>
    <w:r>
      <w:rPr>
        <w:rFonts w:ascii="Source Sans Pro" w:hAnsi="Source Sans Pro"/>
        <w:b/>
        <w:bCs/>
        <w:color w:val="4460A3"/>
        <w:sz w:val="20"/>
      </w:rPr>
      <w:t>se</w:t>
    </w:r>
    <w:proofErr w:type="spellEnd"/>
    <w:r>
      <w:rPr>
        <w:rFonts w:ascii="Source Sans Pro" w:hAnsi="Source Sans Pro"/>
        <w:b/>
        <w:bCs/>
        <w:color w:val="4460A3"/>
        <w:sz w:val="20"/>
      </w:rPr>
      <w:t xml:space="preserve"> </w:t>
    </w:r>
    <w:bookmarkStart w:id="12" w:name="year"/>
    <w:proofErr w:type="gramStart"/>
    <w:r>
      <w:rPr>
        <w:rFonts w:ascii="Source Sans Pro" w:hAnsi="Source Sans Pro"/>
        <w:b/>
        <w:bCs/>
        <w:color w:val="4460A3"/>
        <w:sz w:val="20"/>
      </w:rPr>
      <w:t>year</w:t>
    </w:r>
    <w:bookmarkEnd w:id="12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4174F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C3DC5"/>
    <w:rsid w:val="003C57DE"/>
    <w:rsid w:val="003C6D42"/>
    <w:rsid w:val="003D0A8F"/>
    <w:rsid w:val="003D1D48"/>
    <w:rsid w:val="003D292A"/>
    <w:rsid w:val="003E6178"/>
    <w:rsid w:val="003F6596"/>
    <w:rsid w:val="004019EC"/>
    <w:rsid w:val="00404720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218D0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9130A"/>
    <w:rsid w:val="0099406C"/>
    <w:rsid w:val="00995080"/>
    <w:rsid w:val="009B3266"/>
    <w:rsid w:val="009B442A"/>
    <w:rsid w:val="009B5F2D"/>
    <w:rsid w:val="009C7231"/>
    <w:rsid w:val="009D1A57"/>
    <w:rsid w:val="009D1C94"/>
    <w:rsid w:val="009D4DB8"/>
    <w:rsid w:val="009D7E74"/>
    <w:rsid w:val="009E1FD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54FC2"/>
    <w:rsid w:val="00C6628A"/>
    <w:rsid w:val="00C70CFC"/>
    <w:rsid w:val="00C71794"/>
    <w:rsid w:val="00C71839"/>
    <w:rsid w:val="00C72247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809BC"/>
    <w:rsid w:val="00D8688A"/>
    <w:rsid w:val="00D8759F"/>
    <w:rsid w:val="00D900B8"/>
    <w:rsid w:val="00DA4010"/>
    <w:rsid w:val="00DA54ED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86273"/>
    <w:rsid w:val="00FA7C61"/>
    <w:rsid w:val="00FB2D94"/>
    <w:rsid w:val="00FB4E26"/>
    <w:rsid w:val="00FC45E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uiPriority w:val="99"/>
    <w:unhideWhenUsed/>
    <w:rsid w:val="003C57DE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  <w:style w:type="character" w:styleId="Strong">
    <w:name w:val="Strong"/>
    <w:uiPriority w:val="22"/>
    <w:qFormat/>
    <w:rsid w:val="003C57DE"/>
    <w:rPr>
      <w:b/>
      <w:bCs/>
    </w:rPr>
  </w:style>
  <w:style w:type="character" w:customStyle="1" w:styleId="animating">
    <w:name w:val="animating"/>
    <w:basedOn w:val="DefaultParagraphFont"/>
    <w:rsid w:val="003C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Lucas  Malla</cp:lastModifiedBy>
  <cp:revision>9</cp:revision>
  <cp:lastPrinted>2007-02-12T13:04:00Z</cp:lastPrinted>
  <dcterms:created xsi:type="dcterms:W3CDTF">2023-09-06T16:14:00Z</dcterms:created>
  <dcterms:modified xsi:type="dcterms:W3CDTF">2023-10-31T07:31:00Z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