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proofErr w:type="gramStart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  <w:proofErr w:type="gramEnd"/>
    </w:p>
    <w:p w14:paraId="0507059E" w14:textId="77777777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 et procédures de pondération</w:t>
      </w:r>
    </w:p>
    <w:p w14:paraId="0C932D5E" w14:textId="412FB6D6" w:rsidR="00284227" w:rsidRPr="0000657D" w:rsidRDefault="00000000" w:rsidP="00284227">
      <w:pPr>
        <w:rPr>
          <w:lang w:val="fr-CH"/>
        </w:rPr>
      </w:pPr>
      <w:r>
        <w:rPr>
          <w:noProof/>
        </w:rPr>
        <w:pict w14:anchorId="3817D42A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1C4B5D4C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Description de l'échantillon</w:t>
      </w:r>
      <w:r w:rsidR="00A848DD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345AF1B0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Pr="0000657D">
        <w:rPr>
          <w:rFonts w:ascii="Source Sans Pro" w:hAnsi="Source Sans Pro" w:cs="Arial"/>
          <w:sz w:val="20"/>
          <w:lang w:val="fr-CH"/>
        </w:rPr>
        <w:t xml:space="preserve">ont été inclus dans la base de sondage. </w:t>
      </w:r>
      <w:bookmarkStart w:id="3" w:name="bk2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2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écoles ont été échantillonnées avec une probabilité proportionnelle aux inscriptions.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048A514B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4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 Un échantillonnage systématique à probabilité égale avec un commencement aléatoire a été utilisé pour sélectionner les classes de chaque école ayant participé à l'enquête.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4198C1B0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Taux de réponse</w:t>
      </w:r>
      <w:r w:rsidR="00A848DD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49FF725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5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6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7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écoles tirées au sort 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18664A8D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8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9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10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élèves tirés au sort 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0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10</w:t>
      </w:r>
      <w:bookmarkEnd w:id="11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2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2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37E0AEA5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Pondération</w:t>
      </w:r>
      <w:r w:rsidR="00A848DD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2BB65E9E" w14:textId="2C512614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Une pondération a été associée à chaque questionnaire pour refléter la probabilité de tirer au sort chaque élève et pour réduire les biais en compensant les différents motifs de non-réponse. Le poids utilisé pour l’estimation est donné par</w:t>
      </w:r>
      <w:r w:rsidR="00B17558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>:</w:t>
      </w:r>
    </w:p>
    <w:p w14:paraId="0E58A9DE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A7974A6" w14:textId="77777777" w:rsidR="00034C4B" w:rsidRPr="0000657D" w:rsidRDefault="00034C4B" w:rsidP="00034C4B">
      <w:pPr>
        <w:jc w:val="center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W = W1 * W2 * f1 * f2 * f3</w:t>
      </w:r>
    </w:p>
    <w:p w14:paraId="207CFDB1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61D2CAA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W1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l’école ;</w:t>
      </w:r>
    </w:p>
    <w:p w14:paraId="58476CE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47295FD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W2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la classe au sein de l’école ;</w:t>
      </w:r>
    </w:p>
    <w:p w14:paraId="194E7BF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72F7A4A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1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 l'école calculé selon la catégorie de taille de l'école (petite, moyenne, grande). Le facteur a été calculé en termes de nombre d’inscription plutôt qu’en nombre d’écoles.</w:t>
      </w:r>
    </w:p>
    <w:p w14:paraId="21746B4B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A44E0C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2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des élève calculé par classe.</w:t>
      </w:r>
    </w:p>
    <w:p w14:paraId="0F71206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1F48934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3 </w:t>
      </w:r>
      <w:r w:rsidRPr="0000657D">
        <w:rPr>
          <w:rFonts w:ascii="Source Sans Pro" w:hAnsi="Source Sans Pro" w:cs="Arial"/>
          <w:sz w:val="20"/>
          <w:lang w:val="fr-CH"/>
        </w:rPr>
        <w:tab/>
        <w:t xml:space="preserve">= un facteur d'ajustement de post stratification calculé par année scolaire </w:t>
      </w:r>
      <w:r w:rsidRPr="0000657D">
        <w:rPr>
          <w:rFonts w:ascii="Source Sans Pro" w:hAnsi="Source Sans Pro" w:cs="Arial"/>
          <w:i/>
          <w:sz w:val="20"/>
          <w:lang w:val="fr-CH"/>
        </w:rPr>
        <w:t>.</w:t>
      </w:r>
    </w:p>
    <w:p w14:paraId="1D404072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fr-CH"/>
        </w:rPr>
      </w:pPr>
    </w:p>
    <w:p w14:paraId="44F523DE" w14:textId="6BA87014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>Utilisation des résultats pondérés</w:t>
      </w:r>
      <w:r w:rsidR="00A848DD">
        <w:rPr>
          <w:rFonts w:ascii="Source Sans Pro" w:hAnsi="Source Sans Pro" w:cs="Arial"/>
          <w:b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b/>
          <w:sz w:val="20"/>
          <w:lang w:val="fr-CH"/>
        </w:rPr>
        <w:t>:</w:t>
      </w:r>
    </w:p>
    <w:p w14:paraId="0B6DCCF3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0E5C3CD4" w14:textId="66C846CD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Les résultats pondérés peuvent être utilisés pour faire des inférences importantes sur les comportements prioritaires à risque pour la santé et les facteurs de protection de tous les élèves de</w:t>
      </w:r>
      <w:r w:rsidR="00B53562" w:rsidRPr="0000657D">
        <w:rPr>
          <w:rFonts w:ascii="Source Sans Pro" w:hAnsi="Source Sans Pro" w:cs="Arial"/>
          <w:sz w:val="20"/>
          <w:lang w:val="fr-CH"/>
        </w:rPr>
        <w:t xml:space="preserve"> </w:t>
      </w:r>
      <w:bookmarkStart w:id="13" w:name="bk12"/>
      <w:r w:rsidR="00B53562" w:rsidRPr="0000657D">
        <w:rPr>
          <w:rFonts w:ascii="Source Sans Pro" w:hAnsi="Source Sans Pro" w:cs="Arial"/>
          <w:sz w:val="20"/>
          <w:lang w:val="fr-CH"/>
        </w:rPr>
        <w:t>bk12</w:t>
      </w:r>
      <w:bookmarkEnd w:id="13"/>
      <w:r w:rsidR="00B17558">
        <w:rPr>
          <w:rFonts w:ascii="Source Sans Pro" w:hAnsi="Source Sans Pro" w:cs="Arial"/>
          <w:sz w:val="20"/>
          <w:lang w:val="fr-CH"/>
        </w:rPr>
        <w:t xml:space="preserve"> en/au </w:t>
      </w:r>
      <w:bookmarkStart w:id="14" w:name="bk13"/>
      <w:r w:rsidR="00B17558">
        <w:rPr>
          <w:rFonts w:ascii="Source Sans Pro" w:hAnsi="Source Sans Pro" w:cs="Arial"/>
          <w:sz w:val="20"/>
          <w:lang w:val="fr-CH"/>
        </w:rPr>
        <w:t>bk13</w:t>
      </w:r>
      <w:bookmarkEnd w:id="14"/>
      <w:r w:rsidR="00B17558">
        <w:rPr>
          <w:rFonts w:ascii="Source Sans Pro" w:hAnsi="Source Sans Pro" w:cs="Arial"/>
          <w:sz w:val="20"/>
          <w:lang w:val="fr-CH"/>
        </w:rPr>
        <w:t>.</w:t>
      </w:r>
    </w:p>
    <w:p w14:paraId="576A8AEC" w14:textId="6F54A503" w:rsidR="00D34AF3" w:rsidRPr="0000657D" w:rsidRDefault="00D34AF3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18C2" w14:textId="77777777" w:rsidR="00674F84" w:rsidRDefault="00674F84">
      <w:r>
        <w:separator/>
      </w:r>
    </w:p>
  </w:endnote>
  <w:endnote w:type="continuationSeparator" w:id="0">
    <w:p w14:paraId="5F5485F0" w14:textId="77777777" w:rsidR="00674F84" w:rsidRDefault="0067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2CD8" w14:textId="77777777" w:rsidR="00674F84" w:rsidRDefault="00674F84">
      <w:r>
        <w:separator/>
      </w:r>
    </w:p>
  </w:footnote>
  <w:footnote w:type="continuationSeparator" w:id="0">
    <w:p w14:paraId="218AE26A" w14:textId="77777777" w:rsidR="00674F84" w:rsidRDefault="00674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5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5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74F84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848DD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17558"/>
    <w:rsid w:val="00B25199"/>
    <w:rsid w:val="00B44A37"/>
    <w:rsid w:val="00B45692"/>
    <w:rsid w:val="00B47155"/>
    <w:rsid w:val="00B53562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25</cp:revision>
  <cp:lastPrinted>2007-02-12T13:04:00Z</cp:lastPrinted>
  <dcterms:created xsi:type="dcterms:W3CDTF">2023-07-13T06:17:00Z</dcterms:created>
  <dcterms:modified xsi:type="dcterms:W3CDTF">2024-10-02T16:10:00Z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