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9D27A" w14:textId="77777777" w:rsidR="00000000" w:rsidRPr="0089270D" w:rsidRDefault="00000000" w:rsidP="00E33F62">
      <w:pPr>
        <w:rPr>
          <w:color w:val="A8222D"/>
        </w:rPr>
      </w:pPr>
    </w:p>
    <w:tbl>
      <w:tblPr>
        <w:tblW w:w="0" w:type="auto"/>
        <w:jc w:val="center"/>
        <w:tblLayout w:type="fixed"/>
        <w:tblLook w:val="0420" w:firstRow="1" w:lastRow="0" w:firstColumn="0" w:lastColumn="0" w:noHBand="0" w:noVBand="1"/>
      </w:tblPr>
      <w:tblGrid>
        <w:gridCol w:w="10512"/>
      </w:tblGrid>
      <w:tr w:rsidR="00606728" w14:paraId="35BA8FDA"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176C6DBC" w14:textId="77777777" w:rsidR="00606728"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Background</w:t>
            </w:r>
          </w:p>
        </w:tc>
      </w:tr>
    </w:tbl>
    <w:p w14:paraId="512D6DC5" w14:textId="77777777" w:rsidR="00606728" w:rsidRDefault="00000000">
      <w:r>
        <w:t>Harmful use of alcohol is a major risk factor for noncommunicable diseases (NCDs), including liver cirrhosis, certain cancers, cardiovascular diseases, and mental health disorders, with the World Health Organization (WHO) estimating that 5.1% of the global burden of disease and injury is attributable to alcohol use. In Oman, where 0.4% of the total burden of disease is due to alcohol use, the prevalence of alcohol use disorders among males is 1.4%. It also contributes to injuries and violence, placing a significant burden on health systems and society, with an estimated 45% of all road traffic accidents in Oman involving alcohol. Reducing harmful alcohol use is a key target in global NCD strategies and the Sustainable Development Goals (SDGs), with Oman aiming to reduce its NCD burden by 25% by 2025, and alcohol-related harm being a major focus area, given that 11.6% of all male deaths in Oman are attributed to alcohol use.</w:t>
      </w:r>
    </w:p>
    <w:p w14:paraId="56D8F4A8" w14:textId="77777777" w:rsidR="00606728" w:rsidRDefault="00000000">
      <w:r>
        <w:t xml:space="preserve"> </w:t>
      </w:r>
    </w:p>
    <w:tbl>
      <w:tblPr>
        <w:tblW w:w="0" w:type="auto"/>
        <w:jc w:val="center"/>
        <w:tblLayout w:type="fixed"/>
        <w:tblLook w:val="0420" w:firstRow="1" w:lastRow="0" w:firstColumn="0" w:lastColumn="0" w:noHBand="0" w:noVBand="1"/>
      </w:tblPr>
      <w:tblGrid>
        <w:gridCol w:w="10512"/>
      </w:tblGrid>
      <w:tr w:rsidR="00606728" w14:paraId="096BB000"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5C2EC5EB" w14:textId="77777777" w:rsidR="00606728"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Findings</w:t>
            </w:r>
          </w:p>
        </w:tc>
      </w:tr>
    </w:tbl>
    <w:p w14:paraId="034BAB7F" w14:textId="0DEAC2B4" w:rsidR="00606728" w:rsidRDefault="00000000">
      <w:pPr>
        <w:pStyle w:val="bullet"/>
      </w:pPr>
      <w:r>
        <w:rPr>
          <w:rFonts w:ascii="Arial" w:eastAsia="Arial" w:hAnsi="Arial" w:cs="Arial"/>
          <w:b/>
          <w:color w:val="000000"/>
          <w:sz w:val="20"/>
          <w:szCs w:val="20"/>
        </w:rPr>
        <w:t xml:space="preserve">Current Users and Abstainers: </w:t>
      </w:r>
      <w:r>
        <w:t xml:space="preserve">Alcohol consumption patterns in Oman showed notable changes between 2017 and 2024. The frequency of alcohol consumption in the past 12 months saw a significant decrease in those who drank 5-6 days a week, from 8 to 1, with a p-value of </w:t>
      </w:r>
      <w:r w:rsidR="00196AC6">
        <w:t>&lt;0.0001</w:t>
      </w:r>
      <w:r>
        <w:t>. Additionally, a significant increase was observed in those who drank 1-2 days a week, from 12 to 29, with a p-value of 0.0268. The mean number of standard drinks per drinking occasion among current drinkers remained relatively stable, with no significant changes observed. Significant changes were also seen in the frequency of alcohol consumption in the past 7 days, with a decrease in daily drinking among those aged 45-59, from 6 to 1, with a p-value of 0.0455, and an increase in drinking 1-2 days among women aged 45-69, from 33 to 100, with a p-value of 0.0163. Furthermore, a significant decrease was observed in men who drank 0 days, from 29 to 10, with a p-value of 0.0184.</w:t>
      </w:r>
    </w:p>
    <w:p w14:paraId="08FEE328" w14:textId="77777777" w:rsidR="00606728" w:rsidRDefault="00000000">
      <w:pPr>
        <w:pStyle w:val="bullet"/>
      </w:pPr>
      <w:r>
        <w:rPr>
          <w:rFonts w:ascii="Arial" w:eastAsia="Arial" w:hAnsi="Arial" w:cs="Arial"/>
          <w:b/>
          <w:color w:val="000000"/>
          <w:sz w:val="20"/>
          <w:szCs w:val="20"/>
        </w:rPr>
        <w:t xml:space="preserve">Heavy episodic drinking: </w:t>
      </w:r>
      <w:r>
        <w:t xml:space="preserve">Alcohol consumption patterns in Oman showed no significant changes between 2017 and 2024, with the prevalence of having six or more drinks on a single occasion at least once during the past 30 days remaining at 0% among the total population. Similarly, no significant changes were observed across different demographic groups, including men, women, and various age ranges, with p-values ranging from 0.1336 to 0.8235. The lack of significant changes suggests stable alcohol consumption </w:t>
      </w:r>
      <w:proofErr w:type="spellStart"/>
      <w:r>
        <w:t>behaviors</w:t>
      </w:r>
      <w:proofErr w:type="spellEnd"/>
      <w:r>
        <w:t xml:space="preserve"> in Oman during this period.</w:t>
      </w:r>
    </w:p>
    <w:p w14:paraId="355D3BF8" w14:textId="77777777" w:rsidR="00606728" w:rsidRDefault="00000000">
      <w:r>
        <w:br w:type="page"/>
      </w:r>
    </w:p>
    <w:tbl>
      <w:tblPr>
        <w:tblW w:w="0" w:type="auto"/>
        <w:jc w:val="center"/>
        <w:tblLayout w:type="fixed"/>
        <w:tblLook w:val="0420" w:firstRow="1" w:lastRow="0" w:firstColumn="0" w:lastColumn="0" w:noHBand="0" w:noVBand="1"/>
      </w:tblPr>
      <w:tblGrid>
        <w:gridCol w:w="10512"/>
      </w:tblGrid>
      <w:tr w:rsidR="00606728" w14:paraId="24C6FC1B"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54D259AC" w14:textId="77777777" w:rsidR="00606728"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lastRenderedPageBreak/>
              <w:t>Charts</w:t>
            </w:r>
          </w:p>
        </w:tc>
      </w:tr>
    </w:tbl>
    <w:p w14:paraId="00C26716" w14:textId="77777777" w:rsidR="00606728" w:rsidRDefault="00000000">
      <w:r>
        <w:rPr>
          <w:noProof/>
        </w:rPr>
        <w:drawing>
          <wp:inline distT="0" distB="0" distL="0" distR="0" wp14:anchorId="658D02B7" wp14:editId="6DAE0E67">
            <wp:extent cx="6629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92075" cy="57150"/>
                    </a:xfrm>
                    <a:prstGeom prst="rect">
                      <a:avLst/>
                    </a:prstGeom>
                    <a:noFill/>
                  </pic:spPr>
                </pic:pic>
              </a:graphicData>
            </a:graphic>
          </wp:inline>
        </w:drawing>
      </w:r>
    </w:p>
    <w:p w14:paraId="3CF97136" w14:textId="77777777" w:rsidR="00606728" w:rsidRDefault="00000000">
      <w:r>
        <w:rPr>
          <w:noProof/>
        </w:rPr>
        <w:drawing>
          <wp:inline distT="0" distB="0" distL="0" distR="0" wp14:anchorId="496B8326" wp14:editId="3C931ADA">
            <wp:extent cx="6629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92075" cy="57150"/>
                    </a:xfrm>
                    <a:prstGeom prst="rect">
                      <a:avLst/>
                    </a:prstGeom>
                    <a:noFill/>
                  </pic:spPr>
                </pic:pic>
              </a:graphicData>
            </a:graphic>
          </wp:inline>
        </w:drawing>
      </w:r>
    </w:p>
    <w:p w14:paraId="487903A1" w14:textId="77777777" w:rsidR="00606728" w:rsidRDefault="00000000">
      <w:r>
        <w:rPr>
          <w:noProof/>
        </w:rPr>
        <w:lastRenderedPageBreak/>
        <w:drawing>
          <wp:inline distT="0" distB="0" distL="0" distR="0" wp14:anchorId="7279F30F" wp14:editId="4B6E8CCC">
            <wp:extent cx="6629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92075" cy="57150"/>
                    </a:xfrm>
                    <a:prstGeom prst="rect">
                      <a:avLst/>
                    </a:prstGeom>
                    <a:noFill/>
                  </pic:spPr>
                </pic:pic>
              </a:graphicData>
            </a:graphic>
          </wp:inline>
        </w:drawing>
      </w:r>
    </w:p>
    <w:sectPr w:rsidR="00606728" w:rsidSect="00680F46">
      <w:headerReference w:type="even" r:id="rId10"/>
      <w:headerReference w:type="default" r:id="rId11"/>
      <w:footerReference w:type="even" r:id="rId12"/>
      <w:footerReference w:type="default" r:id="rId13"/>
      <w:headerReference w:type="first" r:id="rId14"/>
      <w:footerReference w:type="first" r:id="rId15"/>
      <w:pgSz w:w="11906" w:h="16838"/>
      <w:pgMar w:top="1440" w:right="737" w:bottom="1440" w:left="737"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B62AF" w14:textId="77777777" w:rsidR="00561B00" w:rsidRDefault="00561B00">
      <w:r>
        <w:separator/>
      </w:r>
    </w:p>
  </w:endnote>
  <w:endnote w:type="continuationSeparator" w:id="0">
    <w:p w14:paraId="55631629" w14:textId="77777777" w:rsidR="00561B00" w:rsidRDefault="00561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4012E45" w14:textId="1BCA91F4"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196AC6">
          <w:rPr>
            <w:rStyle w:val="PageNumber"/>
          </w:rPr>
          <w:fldChar w:fldCharType="separate"/>
        </w:r>
        <w:r w:rsidR="00196AC6">
          <w:rPr>
            <w:rStyle w:val="PageNumber"/>
            <w:noProof/>
          </w:rPr>
          <w:t>2</w:t>
        </w:r>
        <w:r>
          <w:rPr>
            <w:rStyle w:val="PageNumber"/>
          </w:rPr>
          <w:fldChar w:fldCharType="end"/>
        </w:r>
      </w:p>
    </w:sdtContent>
  </w:sdt>
  <w:p w14:paraId="6C58FE8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09DD2C69"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FD61A9"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408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863A" w14:textId="77777777" w:rsidR="00561B00" w:rsidRDefault="00561B00">
      <w:r>
        <w:separator/>
      </w:r>
    </w:p>
  </w:footnote>
  <w:footnote w:type="continuationSeparator" w:id="0">
    <w:p w14:paraId="212BF02F" w14:textId="77777777" w:rsidR="00561B00" w:rsidRDefault="00561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58BE3"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F2AE0" w14:textId="77777777" w:rsidR="00000000" w:rsidRDefault="00000000" w:rsidP="00AD077D">
    <w:pPr>
      <w:pStyle w:val="Header"/>
      <w:jc w:val="center"/>
    </w:pPr>
    <w:r>
      <w:rPr>
        <w:noProof/>
      </w:rPr>
      <mc:AlternateContent>
        <mc:Choice Requires="wps">
          <w:drawing>
            <wp:anchor distT="0" distB="0" distL="114300" distR="114300" simplePos="0" relativeHeight="251659264" behindDoc="0" locked="0" layoutInCell="1" allowOverlap="1" wp14:anchorId="41978BF4" wp14:editId="6DE0EF8C">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52BAE1" w14:textId="77777777" w:rsidR="00000000" w:rsidRDefault="00000000" w:rsidP="00056202">
                          <w:pPr>
                            <w:jc w:val="center"/>
                            <w:rPr>
                              <w:sz w:val="36"/>
                              <w:szCs w:val="36"/>
                            </w:rPr>
                          </w:pPr>
                          <w:bookmarkStart w:id="0" w:name="header"/>
                          <w:r w:rsidRPr="00E04BC0">
                            <w:rPr>
                              <w:sz w:val="36"/>
                              <w:szCs w:val="36"/>
                            </w:rPr>
                            <w:t>Comparison Fact Sheet: Oman 2017 &amp; 2024</w:t>
                          </w:r>
                          <w:bookmarkEnd w:id="0"/>
                        </w:p>
                        <w:p w14:paraId="25D82EAB" w14:textId="77777777" w:rsidR="00000000" w:rsidRPr="00E04BC0" w:rsidRDefault="00000000" w:rsidP="00056202">
                          <w:pPr>
                            <w:jc w:val="center"/>
                            <w:rPr>
                              <w:sz w:val="36"/>
                              <w:szCs w:val="36"/>
                            </w:rPr>
                          </w:pPr>
                          <w:bookmarkStart w:id="1" w:name="header2"/>
                          <w:r>
                            <w:rPr>
                              <w:sz w:val="36"/>
                              <w:szCs w:val="36"/>
                            </w:rPr>
                            <w:t>Alcohol use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E6C4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728"/>
    <w:rsid w:val="00196AC6"/>
    <w:rsid w:val="00561B00"/>
    <w:rsid w:val="006067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994901"/>
  <w15:docId w15:val="{CDE43140-BFA7-7B4C-ACAC-D9CD888F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Lucas Malla</cp:lastModifiedBy>
  <cp:revision>30</cp:revision>
  <dcterms:created xsi:type="dcterms:W3CDTF">2025-10-01T16:57:00Z</dcterms:created>
  <dcterms:modified xsi:type="dcterms:W3CDTF">2025-12-11T09:09:00Z</dcterms:modified>
</cp:coreProperties>
</file>