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FE2AD" w14:textId="77777777" w:rsidR="00000000" w:rsidRPr="0089270D" w:rsidRDefault="00000000" w:rsidP="00E33F62">
      <w:pPr>
        <w:rPr>
          <w:color w:val="A8222D"/>
        </w:rPr>
      </w:pPr>
    </w:p>
    <w:tbl>
      <w:tblPr>
        <w:tblW w:w="0" w:type="auto"/>
        <w:jc w:val="center"/>
        <w:tblLayout w:type="fixed"/>
        <w:tblLook w:val="0420" w:firstRow="1" w:lastRow="0" w:firstColumn="0" w:lastColumn="0" w:noHBand="0" w:noVBand="1"/>
      </w:tblPr>
      <w:tblGrid>
        <w:gridCol w:w="10512"/>
      </w:tblGrid>
      <w:tr w:rsidR="00CA5F2C" w14:paraId="63E3153B"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77B7DE96" w14:textId="77777777" w:rsidR="00CA5F2C"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t>Background</w:t>
            </w:r>
          </w:p>
        </w:tc>
      </w:tr>
    </w:tbl>
    <w:p w14:paraId="19B25246" w14:textId="77777777" w:rsidR="00CA5F2C" w:rsidRDefault="00000000">
      <w:r>
        <w:t>Cardiovascular diseases, including heart attacks, angina (chest pains related to heart disease), and strokes, are major causes of death and disability globally and in Oman, where they account for approximately 34.4% of all deaths, with an estimated 45.8% of the population having hypertension and 34.3% having high cholesterol. The prevalence of cardiovascular risk factors in Oman is significant, with 12.4% of the population smoking, 34.6% being physically inactive, and 42.8% being overweight or obese. Monitoring the prevalence of self-reported history of these events and assessing the current predicted risk of CVD in the population provides crucial insight into the burden of disease and helps guide preventive strategies.</w:t>
      </w:r>
    </w:p>
    <w:p w14:paraId="690B1919" w14:textId="77777777" w:rsidR="00CA5F2C" w:rsidRDefault="00000000">
      <w:r>
        <w:t xml:space="preserve"> </w:t>
      </w:r>
    </w:p>
    <w:tbl>
      <w:tblPr>
        <w:tblW w:w="0" w:type="auto"/>
        <w:jc w:val="center"/>
        <w:tblLayout w:type="fixed"/>
        <w:tblLook w:val="0420" w:firstRow="1" w:lastRow="0" w:firstColumn="0" w:lastColumn="0" w:noHBand="0" w:noVBand="1"/>
      </w:tblPr>
      <w:tblGrid>
        <w:gridCol w:w="10512"/>
      </w:tblGrid>
      <w:tr w:rsidR="00CA5F2C" w14:paraId="3EA186F8"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69CED3D5" w14:textId="77777777" w:rsidR="00CA5F2C"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t>Findings</w:t>
            </w:r>
          </w:p>
        </w:tc>
      </w:tr>
    </w:tbl>
    <w:p w14:paraId="55C3A3D8" w14:textId="1D33C2CD" w:rsidR="00CA5F2C" w:rsidRDefault="00000000">
      <w:pPr>
        <w:pStyle w:val="bullet"/>
      </w:pPr>
      <w:r>
        <w:rPr>
          <w:rFonts w:ascii="Arial" w:eastAsia="Arial" w:hAnsi="Arial" w:cs="Arial"/>
          <w:b/>
          <w:color w:val="000000"/>
          <w:sz w:val="20"/>
          <w:szCs w:val="20"/>
        </w:rPr>
        <w:t xml:space="preserve">Prevalence of self-reported cardiovascular events: </w:t>
      </w:r>
      <w:r>
        <w:t xml:space="preserve">Cardiovascular disease risk in Oman showed significant increases between 2017 and 2024. The prevalence of individuals who have ever had a heart attack or chest pain from heart disease or a stroke rose from 1 to 2, with a significant change (p &lt; 0.05). This trend was consistent across both men and women, with p-values of 0.0014 and 0.0013, respectively. Significant increases were also observed in specific age groups, including 15-29 (p = 0.0121), 45-59 (p = 0.0179), and 60+ (p = </w:t>
      </w:r>
      <w:r w:rsidR="00CC097E">
        <w:t>&lt;0.0001</w:t>
      </w:r>
      <w:r>
        <w:t>). Furthermore, significant changes were noted in the sex-age categories of Men 18 - 44 (p = 0.0324) and Women 45 - 69 (p = 0.0148).</w:t>
      </w:r>
    </w:p>
    <w:p w14:paraId="4D7187CF" w14:textId="77777777" w:rsidR="00CA5F2C" w:rsidRDefault="00000000">
      <w:pPr>
        <w:pStyle w:val="bullet"/>
      </w:pPr>
      <w:r>
        <w:rPr>
          <w:rFonts w:ascii="Arial" w:eastAsia="Arial" w:hAnsi="Arial" w:cs="Arial"/>
          <w:b/>
          <w:color w:val="000000"/>
          <w:sz w:val="20"/>
          <w:szCs w:val="20"/>
        </w:rPr>
        <w:t xml:space="preserve">Predicted 10-year cardiovascular disease risk: </w:t>
      </w:r>
      <w:r>
        <w:t>Cardiovascular disease risk has decreased significantly in Oman, with the percentage of the population at high risk (&gt;20%) decreasing from 12% in 2017 to 5% in 2024 (p &lt; 0.001). Men showed a more pronounced decline, from 15% to 4% (p &lt; 0.001), while women's risk decreased from 8% to 5% (p = 0.0783). The 55-69 age group experienced a significant decrease in high-risk individuals, from 31% to 18% (p &lt; 0.001). Additionally, the percentage of the population with a 10-year CVD risk ≥20% or existing CVD decreased significantly, from 14% to 7% (p &lt; 0.001), with men's risk decreasing from 17% to 6% (p &lt; 0.001).</w:t>
      </w:r>
    </w:p>
    <w:p w14:paraId="1773F116" w14:textId="77777777" w:rsidR="00CA5F2C" w:rsidRDefault="00000000">
      <w:r>
        <w:br w:type="page"/>
      </w:r>
    </w:p>
    <w:tbl>
      <w:tblPr>
        <w:tblW w:w="0" w:type="auto"/>
        <w:jc w:val="center"/>
        <w:tblLayout w:type="fixed"/>
        <w:tblLook w:val="0420" w:firstRow="1" w:lastRow="0" w:firstColumn="0" w:lastColumn="0" w:noHBand="0" w:noVBand="1"/>
      </w:tblPr>
      <w:tblGrid>
        <w:gridCol w:w="10512"/>
      </w:tblGrid>
      <w:tr w:rsidR="00CA5F2C" w14:paraId="20F19273"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55F48726" w14:textId="77777777" w:rsidR="00CA5F2C"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lastRenderedPageBreak/>
              <w:t>Charts</w:t>
            </w:r>
          </w:p>
        </w:tc>
      </w:tr>
    </w:tbl>
    <w:p w14:paraId="6E8C10DA" w14:textId="77777777" w:rsidR="00CA5F2C" w:rsidRDefault="00000000">
      <w:r>
        <w:rPr>
          <w:noProof/>
        </w:rPr>
        <w:drawing>
          <wp:inline distT="0" distB="0" distL="0" distR="0" wp14:anchorId="65E3898A" wp14:editId="6520719C">
            <wp:extent cx="6629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92075" cy="57150"/>
                    </a:xfrm>
                    <a:prstGeom prst="rect">
                      <a:avLst/>
                    </a:prstGeom>
                    <a:noFill/>
                  </pic:spPr>
                </pic:pic>
              </a:graphicData>
            </a:graphic>
          </wp:inline>
        </w:drawing>
      </w:r>
    </w:p>
    <w:p w14:paraId="0E6F7B8D" w14:textId="77777777" w:rsidR="00CA5F2C" w:rsidRDefault="00000000">
      <w:r>
        <w:rPr>
          <w:noProof/>
        </w:rPr>
        <w:drawing>
          <wp:inline distT="0" distB="0" distL="0" distR="0" wp14:anchorId="28B35EE4" wp14:editId="044C15EA">
            <wp:extent cx="6629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92075" cy="57150"/>
                    </a:xfrm>
                    <a:prstGeom prst="rect">
                      <a:avLst/>
                    </a:prstGeom>
                    <a:noFill/>
                  </pic:spPr>
                </pic:pic>
              </a:graphicData>
            </a:graphic>
          </wp:inline>
        </w:drawing>
      </w:r>
    </w:p>
    <w:sectPr w:rsidR="00CA5F2C" w:rsidSect="00680F46">
      <w:headerReference w:type="even" r:id="rId9"/>
      <w:headerReference w:type="default" r:id="rId10"/>
      <w:footerReference w:type="even" r:id="rId11"/>
      <w:footerReference w:type="default" r:id="rId12"/>
      <w:headerReference w:type="first" r:id="rId13"/>
      <w:footerReference w:type="first" r:id="rId14"/>
      <w:pgSz w:w="11906" w:h="16838"/>
      <w:pgMar w:top="1440" w:right="737" w:bottom="1440" w:left="737"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069EA" w14:textId="77777777" w:rsidR="006D24BC" w:rsidRDefault="006D24BC">
      <w:r>
        <w:separator/>
      </w:r>
    </w:p>
  </w:endnote>
  <w:endnote w:type="continuationSeparator" w:id="0">
    <w:p w14:paraId="167D141D" w14:textId="77777777" w:rsidR="006D24BC" w:rsidRDefault="006D2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5544409B" w14:textId="77777777" w:rsidR="00000000" w:rsidRDefault="00000000"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CC097E">
          <w:rPr>
            <w:rStyle w:val="PageNumber"/>
          </w:rPr>
          <w:fldChar w:fldCharType="separate"/>
        </w:r>
        <w:r w:rsidR="00CC097E">
          <w:rPr>
            <w:rStyle w:val="PageNumber"/>
            <w:noProof/>
          </w:rPr>
          <w:t>2</w:t>
        </w:r>
        <w:r>
          <w:rPr>
            <w:rStyle w:val="PageNumber"/>
          </w:rPr>
          <w:fldChar w:fldCharType="end"/>
        </w:r>
      </w:p>
    </w:sdtContent>
  </w:sdt>
  <w:p w14:paraId="366F4ED4"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35304E79" w14:textId="77777777" w:rsidR="00000000" w:rsidRDefault="00000000"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3F51F3"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0D8FD"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6C75C" w14:textId="77777777" w:rsidR="006D24BC" w:rsidRDefault="006D24BC">
      <w:r>
        <w:separator/>
      </w:r>
    </w:p>
  </w:footnote>
  <w:footnote w:type="continuationSeparator" w:id="0">
    <w:p w14:paraId="12280872" w14:textId="77777777" w:rsidR="006D24BC" w:rsidRDefault="006D2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9727C"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4C22E" w14:textId="77777777" w:rsidR="00000000" w:rsidRDefault="00000000" w:rsidP="00AD077D">
    <w:pPr>
      <w:pStyle w:val="Header"/>
      <w:jc w:val="center"/>
    </w:pPr>
    <w:r>
      <w:rPr>
        <w:noProof/>
      </w:rPr>
      <mc:AlternateContent>
        <mc:Choice Requires="wps">
          <w:drawing>
            <wp:anchor distT="0" distB="0" distL="114300" distR="114300" simplePos="0" relativeHeight="251659264" behindDoc="0" locked="0" layoutInCell="1" allowOverlap="1" wp14:anchorId="1E7F30FD" wp14:editId="10872152">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15FE3D" w14:textId="77777777" w:rsidR="00000000" w:rsidRDefault="00000000" w:rsidP="00056202">
                          <w:pPr>
                            <w:jc w:val="center"/>
                            <w:rPr>
                              <w:sz w:val="36"/>
                              <w:szCs w:val="36"/>
                            </w:rPr>
                          </w:pPr>
                          <w:bookmarkStart w:id="0" w:name="header"/>
                          <w:r w:rsidRPr="00E04BC0">
                            <w:rPr>
                              <w:sz w:val="36"/>
                              <w:szCs w:val="36"/>
                            </w:rPr>
                            <w:t>Comparison Fact Sheet: Oman 2017 &amp; 2024</w:t>
                          </w:r>
                          <w:bookmarkEnd w:id="0"/>
                        </w:p>
                        <w:p w14:paraId="05C72D86" w14:textId="77777777" w:rsidR="00000000" w:rsidRPr="00E04BC0" w:rsidRDefault="00000000" w:rsidP="00056202">
                          <w:pPr>
                            <w:jc w:val="center"/>
                            <w:rPr>
                              <w:sz w:val="36"/>
                              <w:szCs w:val="36"/>
                            </w:rPr>
                          </w:pPr>
                          <w:bookmarkStart w:id="1" w:name="header2"/>
                          <w:r>
                            <w:rPr>
                              <w:sz w:val="36"/>
                              <w:szCs w:val="36"/>
                            </w:rPr>
                            <w:t>Cardiovascular disease risk</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035D4"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2C"/>
    <w:rsid w:val="006D24BC"/>
    <w:rsid w:val="00CA5F2C"/>
    <w:rsid w:val="00CC09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E27000"/>
  <w15:docId w15:val="{CDE43140-BFA7-7B4C-ACAC-D9CD888F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Malla</dc:creator>
  <cp:keywords/>
  <dc:description/>
  <cp:lastModifiedBy>Lucas Malla</cp:lastModifiedBy>
  <cp:revision>30</cp:revision>
  <dcterms:created xsi:type="dcterms:W3CDTF">2025-10-01T16:57:00Z</dcterms:created>
  <dcterms:modified xsi:type="dcterms:W3CDTF">2025-12-11T09:09:00Z</dcterms:modified>
</cp:coreProperties>
</file>