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BC4B7" w14:textId="77777777" w:rsidR="00000000" w:rsidRPr="0089270D" w:rsidRDefault="00000000" w:rsidP="00E33F62">
      <w:pPr>
        <w:rPr>
          <w:color w:val="A8222D"/>
        </w:rPr>
      </w:pPr>
    </w:p>
    <w:tbl>
      <w:tblPr>
        <w:tblW w:w="0" w:type="auto"/>
        <w:jc w:val="center"/>
        <w:tblLayout w:type="fixed"/>
        <w:tblLook w:val="0420" w:firstRow="1" w:lastRow="0" w:firstColumn="0" w:lastColumn="0" w:noHBand="0" w:noVBand="1"/>
      </w:tblPr>
      <w:tblGrid>
        <w:gridCol w:w="10512"/>
      </w:tblGrid>
      <w:tr w:rsidR="00A038C7" w14:paraId="5F99D93A" w14:textId="77777777">
        <w:trPr>
          <w:jc w:val="center"/>
        </w:trPr>
        <w:tc>
          <w:tcPr>
            <w:tcW w:w="10512" w:type="dxa"/>
            <w:tcBorders>
              <w:top w:val="none" w:sz="0" w:space="0" w:color="000000"/>
              <w:left w:val="none" w:sz="0" w:space="0" w:color="000000"/>
              <w:bottom w:val="none" w:sz="0" w:space="0" w:color="000000"/>
              <w:right w:val="none" w:sz="0" w:space="0" w:color="000000"/>
            </w:tcBorders>
            <w:shd w:val="clear" w:color="auto" w:fill="D9D9D9"/>
            <w:tcMar>
              <w:top w:w="0" w:type="dxa"/>
              <w:left w:w="0" w:type="dxa"/>
              <w:bottom w:w="0" w:type="dxa"/>
              <w:right w:w="0" w:type="dxa"/>
            </w:tcMar>
            <w:vAlign w:val="center"/>
          </w:tcPr>
          <w:p w14:paraId="10567381" w14:textId="77777777" w:rsidR="00A038C7" w:rsidRDefault="00000000">
            <w:pPr>
              <w:pBdr>
                <w:top w:val="none" w:sz="0" w:space="0" w:color="000000"/>
                <w:left w:val="none" w:sz="0" w:space="0" w:color="000000"/>
                <w:bottom w:val="none" w:sz="0" w:space="0" w:color="000000"/>
                <w:right w:val="none" w:sz="0" w:space="0" w:color="000000"/>
              </w:pBdr>
              <w:spacing w:before="40" w:after="40"/>
              <w:ind w:left="100" w:right="100"/>
              <w:jc w:val="left"/>
              <w:rPr>
                <w:rFonts w:ascii="Helvetica" w:eastAsia="Helvetica" w:hAnsi="Helvetica" w:cs="Helvetica"/>
                <w:b/>
                <w:color w:val="000000"/>
              </w:rPr>
            </w:pPr>
            <w:r>
              <w:rPr>
                <w:rFonts w:ascii="Helvetica" w:eastAsia="Helvetica" w:hAnsi="Helvetica" w:cs="Helvetica"/>
                <w:b/>
                <w:color w:val="000000"/>
              </w:rPr>
              <w:t>Background</w:t>
            </w:r>
          </w:p>
        </w:tc>
      </w:tr>
    </w:tbl>
    <w:p w14:paraId="2C2F7D35" w14:textId="77777777" w:rsidR="00A038C7" w:rsidRDefault="00000000">
      <w:r>
        <w:t xml:space="preserve">Raised blood glucose and diabetes are among the most serious NCD risk factors and conditions globally, with the prevalence of diabetes in Oman being around 14.4% of the population, which translates to approximately 420,000 people living with the condition. Persistent </w:t>
      </w:r>
      <w:proofErr w:type="spellStart"/>
      <w:r>
        <w:t>hyperglycemia</w:t>
      </w:r>
      <w:proofErr w:type="spellEnd"/>
      <w:r>
        <w:t xml:space="preserve"> can lead to complications including cardiovascular disease, kidney failure, vision loss, and lower-limb amputation, resulting in an estimated 12,000 diabetes-related deaths in Oman annually. Type 2 diabetes, the most common form, is largely preventable through healthy diet and physical activity. Early detection and management are critical to reducing long-term complications and health care burden, with the total annual cost of diabetes care in Oman estimated to be around OMR 235 million (USD 610 million), highlighting the need for effective prevention and management strategies to mitigate the impact of diabetes on the Omani healthcare system and economy.</w:t>
      </w:r>
    </w:p>
    <w:p w14:paraId="34E32CC0" w14:textId="77777777" w:rsidR="00A038C7" w:rsidRDefault="00000000">
      <w:r>
        <w:t xml:space="preserve"> </w:t>
      </w:r>
    </w:p>
    <w:tbl>
      <w:tblPr>
        <w:tblW w:w="0" w:type="auto"/>
        <w:jc w:val="center"/>
        <w:tblLayout w:type="fixed"/>
        <w:tblLook w:val="0420" w:firstRow="1" w:lastRow="0" w:firstColumn="0" w:lastColumn="0" w:noHBand="0" w:noVBand="1"/>
      </w:tblPr>
      <w:tblGrid>
        <w:gridCol w:w="10512"/>
      </w:tblGrid>
      <w:tr w:rsidR="00A038C7" w14:paraId="38A1A26F" w14:textId="77777777">
        <w:trPr>
          <w:jc w:val="center"/>
        </w:trPr>
        <w:tc>
          <w:tcPr>
            <w:tcW w:w="10512" w:type="dxa"/>
            <w:tcBorders>
              <w:top w:val="none" w:sz="0" w:space="0" w:color="000000"/>
              <w:left w:val="none" w:sz="0" w:space="0" w:color="000000"/>
              <w:bottom w:val="none" w:sz="0" w:space="0" w:color="000000"/>
              <w:right w:val="none" w:sz="0" w:space="0" w:color="000000"/>
            </w:tcBorders>
            <w:shd w:val="clear" w:color="auto" w:fill="D9D9D9"/>
            <w:tcMar>
              <w:top w:w="0" w:type="dxa"/>
              <w:left w:w="0" w:type="dxa"/>
              <w:bottom w:w="0" w:type="dxa"/>
              <w:right w:w="0" w:type="dxa"/>
            </w:tcMar>
            <w:vAlign w:val="center"/>
          </w:tcPr>
          <w:p w14:paraId="0A389B11" w14:textId="77777777" w:rsidR="00A038C7" w:rsidRDefault="00000000">
            <w:pPr>
              <w:pBdr>
                <w:top w:val="none" w:sz="0" w:space="0" w:color="000000"/>
                <w:left w:val="none" w:sz="0" w:space="0" w:color="000000"/>
                <w:bottom w:val="none" w:sz="0" w:space="0" w:color="000000"/>
                <w:right w:val="none" w:sz="0" w:space="0" w:color="000000"/>
              </w:pBdr>
              <w:spacing w:before="40" w:after="40"/>
              <w:ind w:left="100" w:right="100"/>
              <w:jc w:val="left"/>
              <w:rPr>
                <w:rFonts w:ascii="Helvetica" w:eastAsia="Helvetica" w:hAnsi="Helvetica" w:cs="Helvetica"/>
                <w:b/>
                <w:color w:val="000000"/>
              </w:rPr>
            </w:pPr>
            <w:r>
              <w:rPr>
                <w:rFonts w:ascii="Helvetica" w:eastAsia="Helvetica" w:hAnsi="Helvetica" w:cs="Helvetica"/>
                <w:b/>
                <w:color w:val="000000"/>
              </w:rPr>
              <w:t>Findings</w:t>
            </w:r>
          </w:p>
        </w:tc>
      </w:tr>
    </w:tbl>
    <w:p w14:paraId="2BE14C33" w14:textId="161725B9" w:rsidR="00A038C7" w:rsidRDefault="00000000">
      <w:pPr>
        <w:pStyle w:val="bullet"/>
      </w:pPr>
      <w:r>
        <w:rPr>
          <w:rFonts w:ascii="Arial" w:eastAsia="Arial" w:hAnsi="Arial" w:cs="Arial"/>
          <w:b/>
          <w:color w:val="000000"/>
          <w:sz w:val="20"/>
          <w:szCs w:val="20"/>
        </w:rPr>
        <w:t xml:space="preserve">Mean fasting blood glucose and diabetes prevalence: </w:t>
      </w:r>
      <w:r>
        <w:t>Between 2017 and 2024, significant declines were observed in the proportion of individuals who had never measured their blood sugar, with a 10% decrease (p &lt; 0.0</w:t>
      </w:r>
      <w:r w:rsidR="00037408">
        <w:t>00</w:t>
      </w:r>
      <w:r>
        <w:t>1) overall. This decrease was more pronounced among women, particularly those aged 60+ (-13%, p &lt; 0.0</w:t>
      </w:r>
      <w:r w:rsidR="00037408">
        <w:t>00</w:t>
      </w:r>
      <w:r>
        <w:t>1). Conversely, the proportion of individuals who had measured their blood sugar but were not diagnosed increased by 7% (p &lt; 0.01) overall, with significant increases among women (11%, p &lt; 0.01) and those aged 60+ (8%, p = 0.0465). The mean fasting blood glucose level decreased by 6mg/dl (from 101 to 95) between 2017 and 2024. Significant decreases in impaired fasting glycaemia were also observed, with an overall decline of 4% (p = 0.0004) and a 7% decrease (p = 0.0009) among women aged 18-44. Diabetes prevalence showed no significant change overall, although a significant decline of 5% (p = 0.0496) was observed among individuals aged 45-59.</w:t>
      </w:r>
    </w:p>
    <w:p w14:paraId="7D350C20" w14:textId="110EED6C" w:rsidR="00A038C7" w:rsidRDefault="00000000">
      <w:pPr>
        <w:pStyle w:val="bullet"/>
      </w:pPr>
      <w:r>
        <w:rPr>
          <w:rFonts w:ascii="Arial" w:eastAsia="Arial" w:hAnsi="Arial" w:cs="Arial"/>
          <w:b/>
          <w:color w:val="000000"/>
          <w:sz w:val="20"/>
          <w:szCs w:val="20"/>
        </w:rPr>
        <w:t xml:space="preserve">Diagnosis, </w:t>
      </w:r>
      <w:proofErr w:type="gramStart"/>
      <w:r>
        <w:rPr>
          <w:rFonts w:ascii="Arial" w:eastAsia="Arial" w:hAnsi="Arial" w:cs="Arial"/>
          <w:b/>
          <w:color w:val="000000"/>
          <w:sz w:val="20"/>
          <w:szCs w:val="20"/>
        </w:rPr>
        <w:t>treatment</w:t>
      </w:r>
      <w:proofErr w:type="gramEnd"/>
      <w:r>
        <w:rPr>
          <w:rFonts w:ascii="Arial" w:eastAsia="Arial" w:hAnsi="Arial" w:cs="Arial"/>
          <w:b/>
          <w:color w:val="000000"/>
          <w:sz w:val="20"/>
          <w:szCs w:val="20"/>
        </w:rPr>
        <w:t xml:space="preserve"> and control: </w:t>
      </w:r>
      <w:r>
        <w:t>Diabetes diagnosis among those with raised blood glucose or currently on medication increased from 51% in 2017 to 55% in 2024, although this change was not significant. However, significant increases were observed in specific age groups, including a rise from 23% to 41% among 30-44 year olds (p = 0.002) and from 19% to 48% among women aged 18-44 (p = 0.0054).  Treatment for diabetes also showed significant increases, particularly among 30-44 year olds, where the proportion on medication rose from 20% to 38% (p = 0.0021), and among women aged 18-44, where it increased from 18% to 46% (p = 0.0062). Diabetes control improved significantly, with the proportion of individuals with controlled diabetes rising from 11% to 26% (p &lt; 0.0</w:t>
      </w:r>
      <w:r w:rsidR="00037408">
        <w:t>0</w:t>
      </w:r>
      <w:r>
        <w:t>01), including significant improvements among men (p &lt; 0.0001) and women (p &lt; 0.001).</w:t>
      </w:r>
    </w:p>
    <w:p w14:paraId="771F3264" w14:textId="77777777" w:rsidR="00A038C7" w:rsidRDefault="00000000">
      <w:r>
        <w:br w:type="page"/>
      </w:r>
    </w:p>
    <w:tbl>
      <w:tblPr>
        <w:tblW w:w="0" w:type="auto"/>
        <w:jc w:val="center"/>
        <w:tblLayout w:type="fixed"/>
        <w:tblLook w:val="0420" w:firstRow="1" w:lastRow="0" w:firstColumn="0" w:lastColumn="0" w:noHBand="0" w:noVBand="1"/>
      </w:tblPr>
      <w:tblGrid>
        <w:gridCol w:w="10512"/>
      </w:tblGrid>
      <w:tr w:rsidR="00A038C7" w14:paraId="75A6A8FC" w14:textId="77777777">
        <w:trPr>
          <w:jc w:val="center"/>
        </w:trPr>
        <w:tc>
          <w:tcPr>
            <w:tcW w:w="10512" w:type="dxa"/>
            <w:tcBorders>
              <w:top w:val="none" w:sz="0" w:space="0" w:color="000000"/>
              <w:left w:val="none" w:sz="0" w:space="0" w:color="000000"/>
              <w:bottom w:val="none" w:sz="0" w:space="0" w:color="000000"/>
              <w:right w:val="none" w:sz="0" w:space="0" w:color="000000"/>
            </w:tcBorders>
            <w:shd w:val="clear" w:color="auto" w:fill="D9D9D9"/>
            <w:tcMar>
              <w:top w:w="0" w:type="dxa"/>
              <w:left w:w="0" w:type="dxa"/>
              <w:bottom w:w="0" w:type="dxa"/>
              <w:right w:w="0" w:type="dxa"/>
            </w:tcMar>
            <w:vAlign w:val="center"/>
          </w:tcPr>
          <w:p w14:paraId="02DD0F75" w14:textId="77777777" w:rsidR="00A038C7" w:rsidRDefault="00000000">
            <w:pPr>
              <w:pBdr>
                <w:top w:val="none" w:sz="0" w:space="0" w:color="000000"/>
                <w:left w:val="none" w:sz="0" w:space="0" w:color="000000"/>
                <w:bottom w:val="none" w:sz="0" w:space="0" w:color="000000"/>
                <w:right w:val="none" w:sz="0" w:space="0" w:color="000000"/>
              </w:pBdr>
              <w:spacing w:before="40" w:after="40"/>
              <w:ind w:left="100" w:right="100"/>
              <w:jc w:val="left"/>
              <w:rPr>
                <w:rFonts w:ascii="Helvetica" w:eastAsia="Helvetica" w:hAnsi="Helvetica" w:cs="Helvetica"/>
                <w:b/>
                <w:color w:val="000000"/>
              </w:rPr>
            </w:pPr>
            <w:r>
              <w:rPr>
                <w:rFonts w:ascii="Helvetica" w:eastAsia="Helvetica" w:hAnsi="Helvetica" w:cs="Helvetica"/>
                <w:b/>
                <w:color w:val="000000"/>
              </w:rPr>
              <w:lastRenderedPageBreak/>
              <w:t>Charts</w:t>
            </w:r>
          </w:p>
        </w:tc>
      </w:tr>
    </w:tbl>
    <w:p w14:paraId="15ADAF35" w14:textId="77777777" w:rsidR="00A038C7" w:rsidRDefault="00000000">
      <w:r>
        <w:rPr>
          <w:noProof/>
        </w:rPr>
        <w:drawing>
          <wp:inline distT="0" distB="0" distL="0" distR="0" wp14:anchorId="32A1DD50" wp14:editId="06B4200E">
            <wp:extent cx="6629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92075" cy="57150"/>
                    </a:xfrm>
                    <a:prstGeom prst="rect">
                      <a:avLst/>
                    </a:prstGeom>
                    <a:noFill/>
                  </pic:spPr>
                </pic:pic>
              </a:graphicData>
            </a:graphic>
          </wp:inline>
        </w:drawing>
      </w:r>
    </w:p>
    <w:p w14:paraId="43273EC6" w14:textId="77777777" w:rsidR="00A038C7" w:rsidRDefault="00000000">
      <w:r>
        <w:rPr>
          <w:noProof/>
        </w:rPr>
        <w:drawing>
          <wp:inline distT="0" distB="0" distL="0" distR="0" wp14:anchorId="473E7255" wp14:editId="41B4F807">
            <wp:extent cx="6629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92075" cy="57150"/>
                    </a:xfrm>
                    <a:prstGeom prst="rect">
                      <a:avLst/>
                    </a:prstGeom>
                    <a:noFill/>
                  </pic:spPr>
                </pic:pic>
              </a:graphicData>
            </a:graphic>
          </wp:inline>
        </w:drawing>
      </w:r>
    </w:p>
    <w:p w14:paraId="53A00673" w14:textId="77777777" w:rsidR="00A038C7" w:rsidRDefault="00000000">
      <w:r>
        <w:rPr>
          <w:noProof/>
        </w:rPr>
        <w:lastRenderedPageBreak/>
        <w:drawing>
          <wp:inline distT="0" distB="0" distL="0" distR="0" wp14:anchorId="569BF384" wp14:editId="37D9FA07">
            <wp:extent cx="66294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92075" cy="57150"/>
                    </a:xfrm>
                    <a:prstGeom prst="rect">
                      <a:avLst/>
                    </a:prstGeom>
                    <a:noFill/>
                  </pic:spPr>
                </pic:pic>
              </a:graphicData>
            </a:graphic>
          </wp:inline>
        </w:drawing>
      </w:r>
    </w:p>
    <w:p w14:paraId="3D243F6C" w14:textId="77777777" w:rsidR="00A038C7" w:rsidRDefault="00000000">
      <w:r>
        <w:rPr>
          <w:noProof/>
        </w:rPr>
        <w:drawing>
          <wp:inline distT="0" distB="0" distL="0" distR="0" wp14:anchorId="4059A7AC" wp14:editId="4A82561D">
            <wp:extent cx="6629400"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92075" cy="57150"/>
                    </a:xfrm>
                    <a:prstGeom prst="rect">
                      <a:avLst/>
                    </a:prstGeom>
                    <a:noFill/>
                  </pic:spPr>
                </pic:pic>
              </a:graphicData>
            </a:graphic>
          </wp:inline>
        </w:drawing>
      </w:r>
    </w:p>
    <w:sectPr w:rsidR="00A038C7" w:rsidSect="00680F46">
      <w:headerReference w:type="even" r:id="rId11"/>
      <w:headerReference w:type="default" r:id="rId12"/>
      <w:footerReference w:type="even" r:id="rId13"/>
      <w:footerReference w:type="default" r:id="rId14"/>
      <w:headerReference w:type="first" r:id="rId15"/>
      <w:footerReference w:type="first" r:id="rId16"/>
      <w:pgSz w:w="11906" w:h="16838"/>
      <w:pgMar w:top="1440" w:right="737" w:bottom="1440" w:left="737" w:header="68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2429C" w14:textId="77777777" w:rsidR="00F009F0" w:rsidRDefault="00F009F0">
      <w:r>
        <w:separator/>
      </w:r>
    </w:p>
  </w:endnote>
  <w:endnote w:type="continuationSeparator" w:id="0">
    <w:p w14:paraId="424A5EB6" w14:textId="77777777" w:rsidR="00F009F0" w:rsidRDefault="00F00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53BB172D" w14:textId="77777777" w:rsidR="00000000" w:rsidRDefault="00000000"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037408">
          <w:rPr>
            <w:rStyle w:val="PageNumber"/>
          </w:rPr>
          <w:fldChar w:fldCharType="separate"/>
        </w:r>
        <w:r w:rsidR="00037408">
          <w:rPr>
            <w:rStyle w:val="PageNumber"/>
            <w:noProof/>
          </w:rPr>
          <w:t>2</w:t>
        </w:r>
        <w:r>
          <w:rPr>
            <w:rStyle w:val="PageNumber"/>
          </w:rPr>
          <w:fldChar w:fldCharType="end"/>
        </w:r>
      </w:p>
    </w:sdtContent>
  </w:sdt>
  <w:p w14:paraId="4B74F762"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C691770" w14:textId="77777777" w:rsidR="00000000" w:rsidRDefault="00000000"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B506E5"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1C41C"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7E749" w14:textId="77777777" w:rsidR="00F009F0" w:rsidRDefault="00F009F0">
      <w:r>
        <w:separator/>
      </w:r>
    </w:p>
  </w:footnote>
  <w:footnote w:type="continuationSeparator" w:id="0">
    <w:p w14:paraId="748967A9" w14:textId="77777777" w:rsidR="00F009F0" w:rsidRDefault="00F00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30911"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5F2DA" w14:textId="77777777" w:rsidR="00000000" w:rsidRDefault="00000000" w:rsidP="00AD077D">
    <w:pPr>
      <w:pStyle w:val="Header"/>
      <w:jc w:val="center"/>
    </w:pPr>
    <w:r>
      <w:rPr>
        <w:noProof/>
      </w:rPr>
      <mc:AlternateContent>
        <mc:Choice Requires="wps">
          <w:drawing>
            <wp:anchor distT="0" distB="0" distL="114300" distR="114300" simplePos="0" relativeHeight="251659264" behindDoc="0" locked="0" layoutInCell="1" allowOverlap="1" wp14:anchorId="1D796213" wp14:editId="54B42A6C">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CC61EE" w14:textId="77777777" w:rsidR="00000000" w:rsidRDefault="00000000" w:rsidP="00056202">
                          <w:pPr>
                            <w:jc w:val="center"/>
                            <w:rPr>
                              <w:sz w:val="36"/>
                              <w:szCs w:val="36"/>
                            </w:rPr>
                          </w:pPr>
                          <w:bookmarkStart w:id="0" w:name="header"/>
                          <w:r w:rsidRPr="00E04BC0">
                            <w:rPr>
                              <w:sz w:val="36"/>
                              <w:szCs w:val="36"/>
                            </w:rPr>
                            <w:t>Comparison Fact Sheet: Oman 2017 &amp; 2024</w:t>
                          </w:r>
                          <w:bookmarkEnd w:id="0"/>
                        </w:p>
                        <w:p w14:paraId="21D5A222" w14:textId="77777777" w:rsidR="00000000" w:rsidRPr="00E04BC0" w:rsidRDefault="00000000" w:rsidP="00056202">
                          <w:pPr>
                            <w:jc w:val="center"/>
                            <w:rPr>
                              <w:sz w:val="36"/>
                              <w:szCs w:val="36"/>
                            </w:rPr>
                          </w:pPr>
                          <w:bookmarkStart w:id="1" w:name="header2"/>
                          <w:r>
                            <w:rPr>
                              <w:sz w:val="36"/>
                              <w:szCs w:val="36"/>
                            </w:rPr>
                            <w:t xml:space="preserve">Diabetes or raised blood </w:t>
                          </w:r>
                          <w:proofErr w:type="gramStart"/>
                          <w:r>
                            <w:rPr>
                              <w:sz w:val="36"/>
                              <w:szCs w:val="36"/>
                            </w:rPr>
                            <w:t>glucose</w:t>
                          </w:r>
                          <w:bookmarkEnd w:id="1"/>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6FB33"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C7"/>
    <w:rsid w:val="00037408"/>
    <w:rsid w:val="00A038C7"/>
    <w:rsid w:val="00F009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35F2010"/>
  <w15:docId w15:val="{CDE43140-BFA7-7B4C-ACAC-D9CD888F6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Malla</dc:creator>
  <cp:keywords/>
  <dc:description/>
  <cp:lastModifiedBy>Lucas Malla</cp:lastModifiedBy>
  <cp:revision>30</cp:revision>
  <dcterms:created xsi:type="dcterms:W3CDTF">2025-10-01T16:57:00Z</dcterms:created>
  <dcterms:modified xsi:type="dcterms:W3CDTF">2025-12-11T09:10:00Z</dcterms:modified>
</cp:coreProperties>
</file>