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The presence of multiple risk factors in an individual greatly increases the likelihood of developing serious non-communicable diseases (NCDs) such as cardiovascular disease, diabetes, and cancer, with Oman having a prevalence of 21.3% for diabetes, 34.7% for hypertension, and 39.1% for obesity among its adult population, and with NCDs accounting for 71% of all deaths in the country. Understanding how these risk factors cluster in the population, where 45.5% of Omani adults have two or more risk factors, provides critical insight for targeted prevention, health promotion, and integrated service delivery, considering that the economic burden of NCDs in Oman is estimated to be around 2.3% of the country's GDP.</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Overall distribution of risk factors</w:t>
      </w:r>
      <w:r>
        <w:rPr>
          <w:rFonts w:ascii="Arial" w:hAnsi="Arial" w:eastAsia="Arial" w:cs="Arial"/>
          <w:i w:val="false"/>
          <w:b w:val="true"/>
          <w:u w:val="none"/>
          <w:sz w:val="20"/>
          <w:szCs w:val="20"/>
          <w:color w:val="000000"/>
        </w:rPr>
        <w:t xml:space="preserve">: </w:t>
      </w:r>
      <w:r>
        <w:t xml:space="preserve">The prevalence of combined risk factors in Oman showed minimal fluctuations between 2017 and 2024. Among those with 0 risk factors, the percentage remained relatively stable, with no significant changes observed across different demographics. In contrast, the 60+ age group with 1-2 risk factors exhibited a notable increase of 8 percentage points, although this change was not significant (p = 0.0737). Similarly, the 60+ age group with 3-5 risk factors saw a decrease of 8 percentage points, but this change also did not reach significance (p = 0.0884). No significant changes were observed in any of the other categories, with p-values ranging from 0.1226 to 0.9906, indicating that the variations in combined risk factors between 2017 and 2024 were not statistically significant.</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Multiple risk factors</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155d7f1b8f513737765e3153cfff5e80460e918d.png"/>
<Relationship Id="rId16" Type="http://schemas.openxmlformats.org/officeDocument/2006/relationships/image" Target="media/1f2de7729a2a7e8ac237acacbd2e0756a19c27d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2025-12-11T08:18:55Z</dcterms:modified>
</cp:coreProperties>
</file>