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97529" w14:textId="226976EE" w:rsidR="00C47B8A" w:rsidRPr="0089270D" w:rsidRDefault="00C47B8A" w:rsidP="00E33F62">
      <w:pPr>
        <w:rPr>
          <w:color w:val="A8222D"/>
        </w:rPr>
      </w:pP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Background</w:t>
            </w:r>
          </w:p>
        </w:tc>
      </w:tr>
    </w:tbl>
    <w:p>
      <w:pPr>
        <w:pStyle w:val="Normal"/>
      </w:pPr>
      <w:r>
        <w:t xml:space="preserve">Excess body weight, including overweight and obesity, is a major risk factor for NCDs such as CVD, type 2 diabetes, certain cancers, and musculoskeletal disorders, with approximately 34.9% of Oman's adult population being obese and 33.3% overweight, as of 2019. Body Mass Index (BMI) is a standardized measure used to assess weight status in adults, with a reported 71.8% of the Omani population having a BMI of 25 or higher. Monitoring BMI distribution in the population helps guide policies targeting healthy diet, physical activity, and lifestyle modification, considering that the prevalence of obesity in Oman has increased by 10.4% between 2010 and 2019, and the country has one of the highest rates of physical inactivity, with 71.4% of the population not meeting the World Health Organization's recommendations for physical activity.</w:t>
      </w:r>
    </w:p>
    <w:p>
      <w:pPr>
        <w:pStyle w:val="Normal"/>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Findings</w:t>
            </w:r>
          </w:p>
        </w:tc>
      </w:tr>
    </w:tbl>
    <w:p>
      <w:pPr>
        <w:pStyle w:val="bullet"/>
      </w:pPr>
      <w:r>
        <w:rPr>
          <w:rFonts w:ascii="Arial" w:hAnsi="Arial" w:eastAsia="Arial" w:cs="Arial"/>
          <w:i w:val="false"/>
          <w:b w:val="true"/>
          <w:u w:val="none"/>
          <w:sz w:val="20"/>
          <w:szCs w:val="20"/>
          <w:color w:val="000000"/>
        </w:rPr>
        <w:t xml:space="preserve">Prevalence of overweight and obesity</w:t>
      </w:r>
      <w:r>
        <w:rPr>
          <w:rFonts w:ascii="Arial" w:hAnsi="Arial" w:eastAsia="Arial" w:cs="Arial"/>
          <w:i w:val="false"/>
          <w:b w:val="true"/>
          <w:u w:val="none"/>
          <w:sz w:val="20"/>
          <w:szCs w:val="20"/>
          <w:color w:val="000000"/>
        </w:rPr>
        <w:t xml:space="preserve">: </w:t>
      </w:r>
      <w:r>
        <w:t xml:space="preserve">Mean BMI in Oman remained stable at 27 kg/m2 between 2017 and 2024. BMI classifications, however, showed notable shifts. The prevalence of underweight individuals decreased significantly from 6% to 3% (p = 0.0013), with significant decreases also observed among women aged 45-69 (p = 1e-04) and those aged 60+ (p = 0.0012). Conversely, the proportion of individuals with a BMI of 25.0-29.9 increased significantly from 32% to 36% (p = 0.027). Additionally, the proportion of individuals with a BMI of 25 or higher increased significantly from 59% to 63% (p = 0.0157), with a significant increase also observed among men (p = 0.0467).</w:t>
      </w:r>
    </w:p>
    <w:p>
      <w:pPr>
        <w:pStyle w:val="bullet"/>
      </w:pPr>
      <w:r>
        <w:rPr>
          <w:rFonts w:ascii="Arial" w:hAnsi="Arial" w:eastAsia="Arial" w:cs="Arial"/>
          <w:i w:val="false"/>
          <w:b w:val="true"/>
          <w:u w:val="none"/>
          <w:sz w:val="20"/>
          <w:szCs w:val="20"/>
          <w:color w:val="000000"/>
        </w:rPr>
        <w:t xml:space="preserve">Waist circumference</w:t>
      </w:r>
      <w:r>
        <w:rPr>
          <w:rFonts w:ascii="Arial" w:hAnsi="Arial" w:eastAsia="Arial" w:cs="Arial"/>
          <w:i w:val="false"/>
          <w:b w:val="true"/>
          <w:u w:val="none"/>
          <w:sz w:val="20"/>
          <w:szCs w:val="20"/>
          <w:color w:val="000000"/>
        </w:rPr>
        <w:t xml:space="preserve">: </w:t>
      </w:r>
      <w:r>
        <w:t xml:space="preserve">Waist circumference in Oman increased by 3cm from 88cm in 2017 to 91cm in 2024. This change was observed across both men and women, with a 2cm increase in each group. By age, the 30-44 and 60+ groups saw a 2cm and 1cm increase, respectively, while the 15-29 and 45-59 groups showed no significant change. Notably, the women's 45-69 age group had a stable waist circumference over the period. Although specific p-values are not provided, the lack of significant changes in certain groups, such as the 15-29 and 45-59 age ranges, is indicated.</w:t>
      </w:r>
    </w:p>
    <w:p>
      <w:pPr/>
      <w:r>
        <w:br w:type="page"/>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Charts</w:t>
            </w:r>
          </w:p>
        </w:tc>
      </w:tr>
    </w:tbl>
    <w:p>
      <w:pPr>
        <w:pStyle w:val="Normal"/>
      </w:pPr>
      <w:r>
        <w:rPr/>
        <w:drawing>
          <wp:inline distT="0" distB="0" distL="0" distR="0">
            <wp:extent cx="6629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5"/>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tretch>
                      <a:fillRect/>
                    </a:stretch>
                  </pic:blipFill>
                  <pic:spPr bwMode="auto">
                    <a:xfrm>
                      <a:off x="0" y="0"/>
                      <a:ext cx="92075" cy="57150"/>
                    </a:xfrm>
                    <a:prstGeom prst="rect">
                      <a:avLst/>
                    </a:prstGeom>
                    <a:noFill/>
                  </pic:spPr>
                </pic:pic>
              </a:graphicData>
            </a:graphic>
          </wp:inline>
        </w:drawing>
      </w:r>
    </w:p>
    <w:sectPr w:rsidR="00C47B8A" w:rsidRPr="0089270D" w:rsidSect="00680F46">
      <w:headerReference w:type="even" r:id="rId7"/>
      <w:headerReference w:type="default" r:id="rId8"/>
      <w:footerReference w:type="even" r:id="rId9"/>
      <w:footerReference w:type="default" r:id="rId10"/>
      <w:headerReference w:type="first" r:id="rId11"/>
      <w:footerReference w:type="first" r:id="rId12"/>
      <w:pgSz w:w="11906" w:h="16838"/>
      <w:pgMar w:top="1440" w:right="737" w:bottom="1440" w:left="737" w:header="680"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0EAE9" w14:textId="77777777" w:rsidR="00D5084D" w:rsidRDefault="00D5084D" w:rsidP="00D427AF">
      <w:r>
        <w:separator/>
      </w:r>
    </w:p>
  </w:endnote>
  <w:endnote w:type="continuationSeparator" w:id="0">
    <w:p w14:paraId="44B678EE" w14:textId="77777777" w:rsidR="00D5084D" w:rsidRDefault="00D5084D" w:rsidP="00D4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7ACB4BD3" w14:textId="0CD44354"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9F2093" w14:textId="77777777" w:rsidR="00946C5B" w:rsidRDefault="00946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6F4B1C03" w14:textId="7C9A7139"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DFE05E" w14:textId="77777777" w:rsidR="00946C5B" w:rsidRDefault="00946C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171" w14:textId="77777777" w:rsidR="00946C5B" w:rsidRDefault="00946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8DEC6" w14:textId="77777777" w:rsidR="00D5084D" w:rsidRDefault="00D5084D" w:rsidP="00D427AF">
      <w:r>
        <w:separator/>
      </w:r>
    </w:p>
  </w:footnote>
  <w:footnote w:type="continuationSeparator" w:id="0">
    <w:p w14:paraId="11C6AB86" w14:textId="77777777" w:rsidR="00D5084D" w:rsidRDefault="00D5084D" w:rsidP="00D42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92DF" w14:textId="77777777" w:rsidR="00946C5B" w:rsidRDefault="00946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62F1" w14:textId="55214F40" w:rsidR="00D427AF" w:rsidRDefault="004C56AA" w:rsidP="00AD077D">
    <w:pPr>
      <w:pStyle w:val="Header"/>
      <w:jc w:val="center"/>
    </w:pPr>
    <w:r>
      <w:rPr>
        <w:noProof/>
      </w:rPr>
      <mc:AlternateContent>
        <mc:Choice Requires="wps">
          <w:drawing>
            <wp:anchor distT="0" distB="0" distL="114300" distR="114300" simplePos="0" relativeHeight="251659264" behindDoc="0" locked="0" layoutInCell="1" allowOverlap="1" wp14:anchorId="79EA2CC7" wp14:editId="6F4758ED">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41F2C1" w14:textId="2246D095" w:rsidR="00056202" w:rsidRDefault="00056202" w:rsidP="00056202">
                          <w:pPr>
                            <w:jc w:val="center"/>
                            <w:rPr>
                              <w:sz w:val="36"/>
                              <w:szCs w:val="36"/>
                            </w:rPr>
                          </w:pPr>
                          <w:bookmarkStart w:id="0" w:name="header"/>
                          <w:r w:rsidRPr="00E04BC0">
                            <w:rPr>
                              <w:sz w:val="36"/>
                              <w:szCs w:val="36"/>
                            </w:rPr>
                            <w:t>Comparison Fact Sheet: Oman 2017 &amp; 2024</w:t>
                          </w:r>
                          <w:bookmarkEnd w:id="0"/>
                        </w:p>
                        <w:p w14:paraId="6397170D" w14:textId="1E8072A6" w:rsidR="00902713" w:rsidRPr="00E04BC0" w:rsidRDefault="00902713" w:rsidP="00056202">
                          <w:pPr>
                            <w:jc w:val="center"/>
                            <w:rPr>
                              <w:sz w:val="36"/>
                              <w:szCs w:val="36"/>
                            </w:rPr>
                          </w:pPr>
                          <w:bookmarkStart w:id="1" w:name="header2"/>
                          <w:r>
                            <w:rPr>
                              <w:sz w:val="36"/>
                              <w:szCs w:val="36"/>
                            </w:rPr>
                            <w:t>Overweight and obesity</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358BE" w14:textId="77777777" w:rsidR="00946C5B" w:rsidRDefault="00946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w="http://schemas.openxmlformats.org/wordprocessingml/2006/main">
  <w:zoom w:percent="18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image" Target="media/d0a4637a19e1cbedda2cc6cc1889df5900865efb.png"/>
<Relationship Id="rId16" Type="http://schemas.openxmlformats.org/officeDocument/2006/relationships/image" Target="media/6b8de265b638bd06f5a6b2a43cd8747fdf0b3cc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29</cp:revision>
  <dcterms:created xsi:type="dcterms:W3CDTF">2025-10-01T16:57:00Z</dcterms:created>
  <dcterms:modified xsi:type="dcterms:W3CDTF">2025-12-11T08:18:01Z</dcterms:modified>
</cp:coreProperties>
</file>