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C09B9" w14:textId="77777777" w:rsidR="00000000" w:rsidRPr="0089270D" w:rsidRDefault="00000000" w:rsidP="00E33F62">
      <w:pPr>
        <w:rPr>
          <w:color w:val="A8222D"/>
        </w:rPr>
      </w:pPr>
    </w:p>
    <w:tbl>
      <w:tblPr>
        <w:tblW w:w="0" w:type="auto"/>
        <w:jc w:val="center"/>
        <w:tblLayout w:type="fixed"/>
        <w:tblLook w:val="0420" w:firstRow="1" w:lastRow="0" w:firstColumn="0" w:lastColumn="0" w:noHBand="0" w:noVBand="1"/>
      </w:tblPr>
      <w:tblGrid>
        <w:gridCol w:w="10512"/>
      </w:tblGrid>
      <w:tr w:rsidR="0086352C" w14:paraId="17C3DE0D"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4E9DD366" w14:textId="77777777" w:rsidR="008635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Background</w:t>
            </w:r>
          </w:p>
        </w:tc>
      </w:tr>
    </w:tbl>
    <w:p w14:paraId="502A6513" w14:textId="77777777" w:rsidR="0086352C" w:rsidRDefault="00000000">
      <w:r>
        <w:t xml:space="preserve">Physical inactivity is a major modifiable risk factor for non-communicable diseases (NCDs), including cardiovascular disease, diabetes, obesity, and certain cancers, with the World Health Organization (WHO) reporting that 34.6% of Oman's adult population has diabetes, and 41.1% of the population is obese. In Oman, where 45.5% of the population engages in insufficient physical activity, and the prevalence of physical inactivity is higher among women (53.4%) than men (37.5%), physical inactivity poses a significant health concern. WHO recommends that adults engage in at least 150 minutes of moderate-intensity aerobic physical activity (or 75 minutes of vigorous-intensity activity) per week. Given that the mortality rate due to cardiovascular diseases in Oman is 347.7 per 100,000 people, and the country has a high prevalence of risk factors, with 43.2% of the population having hypertension, monitoring physical activity levels helps inform public health policies aimed at reducing sedentary </w:t>
      </w:r>
      <w:proofErr w:type="spellStart"/>
      <w:r>
        <w:t>behavior</w:t>
      </w:r>
      <w:proofErr w:type="spellEnd"/>
      <w:r>
        <w:t xml:space="preserve"> and promoting active lifestyles, which is crucial for reducing the burden of NCDs in Oman, where NCDs account for 71.3% of all deaths.</w:t>
      </w:r>
    </w:p>
    <w:p w14:paraId="05746744" w14:textId="77777777" w:rsidR="0086352C" w:rsidRDefault="00000000">
      <w:r>
        <w:t xml:space="preserve"> </w:t>
      </w:r>
    </w:p>
    <w:tbl>
      <w:tblPr>
        <w:tblW w:w="0" w:type="auto"/>
        <w:jc w:val="center"/>
        <w:tblLayout w:type="fixed"/>
        <w:tblLook w:val="0420" w:firstRow="1" w:lastRow="0" w:firstColumn="0" w:lastColumn="0" w:noHBand="0" w:noVBand="1"/>
      </w:tblPr>
      <w:tblGrid>
        <w:gridCol w:w="10512"/>
      </w:tblGrid>
      <w:tr w:rsidR="0086352C" w14:paraId="6B8993EA"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5DAA5B9E" w14:textId="77777777" w:rsidR="008635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t>Findings</w:t>
            </w:r>
          </w:p>
        </w:tc>
      </w:tr>
    </w:tbl>
    <w:p w14:paraId="17FC57D8" w14:textId="5CFAF1B3" w:rsidR="0086352C" w:rsidRDefault="00000000">
      <w:pPr>
        <w:pStyle w:val="bullet"/>
      </w:pPr>
      <w:r>
        <w:rPr>
          <w:rFonts w:ascii="Arial" w:eastAsia="Arial" w:hAnsi="Arial" w:cs="Arial"/>
          <w:b/>
          <w:color w:val="000000"/>
          <w:sz w:val="20"/>
          <w:szCs w:val="20"/>
        </w:rPr>
        <w:t xml:space="preserve">Overall patterns of physical activity: </w:t>
      </w:r>
      <w:r>
        <w:t xml:space="preserve">Not meeting the World Health Organization's physical activity recommendations decreased significantly from 39% in 2017 to 28% in 2024, with a p-value of 0, indicating a significant change. This trend was observed across various demographic groups, including women, where the percentage decreased from 50% to 36% (p = </w:t>
      </w:r>
      <w:r w:rsidR="001844EA">
        <w:t>&lt;0.0001</w:t>
      </w:r>
      <w:r>
        <w:t xml:space="preserve">), and men, although the change was not significant. The median minutes of total physical activity per day increased from 39 to 57 minutes, with notable increases among women and the 60+ age group.  Significant decreases were observed in the prevalence of no work-related physical activity, from 64% to 53% (p = </w:t>
      </w:r>
      <w:r w:rsidR="001844EA">
        <w:t>&lt;0.0001</w:t>
      </w:r>
      <w:r>
        <w:t>), and no recreation-related physical activity, from 68% to 56% (p = 0). The proportion of individuals engaging in no vigorous physical activity remained relatively stable, although a significant increase was seen among women, from 88% to 92% (p = 0.0301). Time spent in sedentary activities decreased by 29 minutes, from 219 to 190 minutes per day.</w:t>
      </w:r>
    </w:p>
    <w:p w14:paraId="46C2B93C" w14:textId="77777777" w:rsidR="0086352C" w:rsidRDefault="00000000">
      <w:r>
        <w:br w:type="page"/>
      </w:r>
    </w:p>
    <w:tbl>
      <w:tblPr>
        <w:tblW w:w="0" w:type="auto"/>
        <w:jc w:val="center"/>
        <w:tblLayout w:type="fixed"/>
        <w:tblLook w:val="0420" w:firstRow="1" w:lastRow="0" w:firstColumn="0" w:lastColumn="0" w:noHBand="0" w:noVBand="1"/>
      </w:tblPr>
      <w:tblGrid>
        <w:gridCol w:w="10512"/>
      </w:tblGrid>
      <w:tr w:rsidR="0086352C" w14:paraId="0606D6F4" w14:textId="77777777">
        <w:trPr>
          <w:jc w:val="center"/>
        </w:trPr>
        <w:tc>
          <w:tcPr>
            <w:tcW w:w="10512" w:type="dxa"/>
            <w:tcBorders>
              <w:top w:val="none" w:sz="0" w:space="0" w:color="000000"/>
              <w:left w:val="none" w:sz="0" w:space="0" w:color="000000"/>
              <w:bottom w:val="none" w:sz="0" w:space="0" w:color="000000"/>
              <w:right w:val="none" w:sz="0" w:space="0" w:color="000000"/>
            </w:tcBorders>
            <w:shd w:val="clear" w:color="auto" w:fill="D9D9D9"/>
            <w:tcMar>
              <w:top w:w="0" w:type="dxa"/>
              <w:left w:w="0" w:type="dxa"/>
              <w:bottom w:w="0" w:type="dxa"/>
              <w:right w:w="0" w:type="dxa"/>
            </w:tcMar>
            <w:vAlign w:val="center"/>
          </w:tcPr>
          <w:p w14:paraId="3748FC61" w14:textId="77777777" w:rsidR="0086352C" w:rsidRDefault="00000000">
            <w:pPr>
              <w:pBdr>
                <w:top w:val="none" w:sz="0" w:space="0" w:color="000000"/>
                <w:left w:val="none" w:sz="0" w:space="0" w:color="000000"/>
                <w:bottom w:val="none" w:sz="0" w:space="0" w:color="000000"/>
                <w:right w:val="none" w:sz="0" w:space="0" w:color="000000"/>
              </w:pBdr>
              <w:spacing w:before="40" w:after="40"/>
              <w:ind w:left="100" w:right="100"/>
              <w:jc w:val="left"/>
              <w:rPr>
                <w:rFonts w:ascii="Helvetica" w:eastAsia="Helvetica" w:hAnsi="Helvetica" w:cs="Helvetica"/>
                <w:b/>
                <w:color w:val="000000"/>
              </w:rPr>
            </w:pPr>
            <w:r>
              <w:rPr>
                <w:rFonts w:ascii="Helvetica" w:eastAsia="Helvetica" w:hAnsi="Helvetica" w:cs="Helvetica"/>
                <w:b/>
                <w:color w:val="000000"/>
              </w:rPr>
              <w:lastRenderedPageBreak/>
              <w:t>Charts</w:t>
            </w:r>
          </w:p>
        </w:tc>
      </w:tr>
    </w:tbl>
    <w:p w14:paraId="4F710D94" w14:textId="77777777" w:rsidR="0086352C" w:rsidRDefault="00000000">
      <w:r>
        <w:rPr>
          <w:noProof/>
        </w:rPr>
        <w:drawing>
          <wp:inline distT="0" distB="0" distL="0" distR="0" wp14:anchorId="4C5FA535" wp14:editId="0C51D2A6">
            <wp:extent cx="6629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92075" cy="57150"/>
                    </a:xfrm>
                    <a:prstGeom prst="rect">
                      <a:avLst/>
                    </a:prstGeom>
                    <a:noFill/>
                  </pic:spPr>
                </pic:pic>
              </a:graphicData>
            </a:graphic>
          </wp:inline>
        </w:drawing>
      </w:r>
    </w:p>
    <w:p w14:paraId="3F22D6C9" w14:textId="77777777" w:rsidR="0086352C" w:rsidRDefault="00000000">
      <w:r>
        <w:rPr>
          <w:noProof/>
        </w:rPr>
        <w:drawing>
          <wp:inline distT="0" distB="0" distL="0" distR="0" wp14:anchorId="3A0AEF77" wp14:editId="509174CE">
            <wp:extent cx="6629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92075" cy="57150"/>
                    </a:xfrm>
                    <a:prstGeom prst="rect">
                      <a:avLst/>
                    </a:prstGeom>
                    <a:noFill/>
                  </pic:spPr>
                </pic:pic>
              </a:graphicData>
            </a:graphic>
          </wp:inline>
        </w:drawing>
      </w:r>
    </w:p>
    <w:p w14:paraId="3696A5B3" w14:textId="77777777" w:rsidR="0086352C" w:rsidRDefault="00000000">
      <w:r>
        <w:rPr>
          <w:noProof/>
        </w:rPr>
        <w:lastRenderedPageBreak/>
        <w:drawing>
          <wp:inline distT="0" distB="0" distL="0" distR="0" wp14:anchorId="773AF519" wp14:editId="2BD9C05C">
            <wp:extent cx="6629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92075" cy="57150"/>
                    </a:xfrm>
                    <a:prstGeom prst="rect">
                      <a:avLst/>
                    </a:prstGeom>
                    <a:noFill/>
                  </pic:spPr>
                </pic:pic>
              </a:graphicData>
            </a:graphic>
          </wp:inline>
        </w:drawing>
      </w:r>
    </w:p>
    <w:sectPr w:rsidR="0086352C" w:rsidSect="00680F46">
      <w:headerReference w:type="even" r:id="rId10"/>
      <w:headerReference w:type="default" r:id="rId11"/>
      <w:footerReference w:type="even" r:id="rId12"/>
      <w:footerReference w:type="default" r:id="rId13"/>
      <w:headerReference w:type="first" r:id="rId14"/>
      <w:footerReference w:type="first" r:id="rId15"/>
      <w:pgSz w:w="11906" w:h="16838"/>
      <w:pgMar w:top="1440" w:right="737" w:bottom="1440" w:left="737"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C3451" w14:textId="77777777" w:rsidR="00020406" w:rsidRDefault="00020406">
      <w:r>
        <w:separator/>
      </w:r>
    </w:p>
  </w:endnote>
  <w:endnote w:type="continuationSeparator" w:id="0">
    <w:p w14:paraId="4B0F55CE" w14:textId="77777777" w:rsidR="00020406" w:rsidRDefault="0002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51409FC8"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1844EA">
          <w:rPr>
            <w:rStyle w:val="PageNumber"/>
          </w:rPr>
          <w:fldChar w:fldCharType="separate"/>
        </w:r>
        <w:r w:rsidR="001844EA">
          <w:rPr>
            <w:rStyle w:val="PageNumber"/>
            <w:noProof/>
          </w:rPr>
          <w:t>2</w:t>
        </w:r>
        <w:r>
          <w:rPr>
            <w:rStyle w:val="PageNumber"/>
          </w:rPr>
          <w:fldChar w:fldCharType="end"/>
        </w:r>
      </w:p>
    </w:sdtContent>
  </w:sdt>
  <w:p w14:paraId="373E9B0A"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4F724C7F" w14:textId="77777777" w:rsidR="00000000" w:rsidRDefault="00000000"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ED8E28"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A494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4BA25" w14:textId="77777777" w:rsidR="00020406" w:rsidRDefault="00020406">
      <w:r>
        <w:separator/>
      </w:r>
    </w:p>
  </w:footnote>
  <w:footnote w:type="continuationSeparator" w:id="0">
    <w:p w14:paraId="5762E5B7" w14:textId="77777777" w:rsidR="00020406" w:rsidRDefault="00020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3CAB"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05A6D" w14:textId="77777777" w:rsidR="00000000" w:rsidRDefault="00000000" w:rsidP="00AD077D">
    <w:pPr>
      <w:pStyle w:val="Header"/>
      <w:jc w:val="center"/>
    </w:pPr>
    <w:r>
      <w:rPr>
        <w:noProof/>
      </w:rPr>
      <mc:AlternateContent>
        <mc:Choice Requires="wps">
          <w:drawing>
            <wp:anchor distT="0" distB="0" distL="114300" distR="114300" simplePos="0" relativeHeight="251659264" behindDoc="0" locked="0" layoutInCell="1" allowOverlap="1" wp14:anchorId="2A52161E" wp14:editId="2A27534B">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B32848" w14:textId="77777777" w:rsidR="00000000" w:rsidRDefault="00000000" w:rsidP="00056202">
                          <w:pPr>
                            <w:jc w:val="center"/>
                            <w:rPr>
                              <w:sz w:val="36"/>
                              <w:szCs w:val="36"/>
                            </w:rPr>
                          </w:pPr>
                          <w:bookmarkStart w:id="0" w:name="header"/>
                          <w:r w:rsidRPr="00E04BC0">
                            <w:rPr>
                              <w:sz w:val="36"/>
                              <w:szCs w:val="36"/>
                            </w:rPr>
                            <w:t>Comparison Fact Sheet: Oman 2017 &amp; 2024</w:t>
                          </w:r>
                          <w:bookmarkEnd w:id="0"/>
                        </w:p>
                        <w:p w14:paraId="111D294D" w14:textId="77777777" w:rsidR="00000000" w:rsidRPr="00E04BC0" w:rsidRDefault="00000000" w:rsidP="00056202">
                          <w:pPr>
                            <w:jc w:val="center"/>
                            <w:rPr>
                              <w:sz w:val="36"/>
                              <w:szCs w:val="36"/>
                            </w:rPr>
                          </w:pPr>
                          <w:bookmarkStart w:id="1" w:name="header2"/>
                          <w:r>
                            <w:rPr>
                              <w:sz w:val="36"/>
                              <w:szCs w:val="36"/>
                            </w:rPr>
                            <w:t>Physical inactivity</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60B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52C"/>
    <w:rsid w:val="00020406"/>
    <w:rsid w:val="001844EA"/>
    <w:rsid w:val="008635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9A8999"/>
  <w15:docId w15:val="{CDE43140-BFA7-7B4C-ACAC-D9CD888F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Malla</dc:creator>
  <cp:keywords/>
  <dc:description/>
  <cp:lastModifiedBy>Lucas Malla</cp:lastModifiedBy>
  <cp:revision>30</cp:revision>
  <dcterms:created xsi:type="dcterms:W3CDTF">2025-10-01T16:57:00Z</dcterms:created>
  <dcterms:modified xsi:type="dcterms:W3CDTF">2025-12-11T09:12:00Z</dcterms:modified>
</cp:coreProperties>
</file>