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797529" w14:textId="226976EE" w:rsidR="00C47B8A" w:rsidRPr="0089270D" w:rsidRDefault="00C47B8A" w:rsidP="00E33F62">
      <w:pPr>
        <w:rPr>
          <w:color w:val="A8222D"/>
        </w:rPr>
      </w:pPr>
    </w:p>
    <w:tbl xmlns:a="http://schemas.openxmlformats.org/drawingml/2006/main" xmlns:pic="http://schemas.openxmlformats.org/drawingml/2006/picture">
      <w:tblPr>
        <w:tblLayout w:type="fixed"/>
        <w:jc w:val="center"/>
        <w:tblLook w:firstRow="1" w:lastRow="0" w:firstColumn="0" w:lastColumn="0" w:noHBand="0" w:noVBand="1"/>
      </w:tblPr>
      <w:tblGrid>
        <w:gridCol w:w="10512"/>
      </w:tblGrid>
      <w:tr>
        <w:trPr>
          <w:trHeight w:val="360" w:hRule="auto"/>
        </w:trPr>
        body1
        <w:tc>
          <w:tcPr>
            <w:tcBorders>
              <w:bottom w:val="none" w:sz="0" w:space="0" w:color="000000"/>
              <w:top w:val="none" w:sz="0" w:space="0" w:color="000000"/>
              <w:left w:val="none" w:sz="0" w:space="0" w:color="000000"/>
              <w:right w:val="none" w:sz="0" w:space="0" w:color="000000"/>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Background</w:t>
            </w:r>
          </w:p>
        </w:tc>
      </w:tr>
    </w:tbl>
    <w:p>
      <w:pPr>
        <w:pStyle w:val="Normal"/>
      </w:pPr>
      <w:r>
        <w:t xml:space="preserve">Tobacco use is a leading modifiable risk factor for noncommunicable diseases (NCDs), including cardiovascular diseases, cancers, chronic respiratory diseases, and diabetes. According to the World Health Organization, tobacco use is responsible for approximately 1,200 deaths annually in Oman, with around 12.6% of the Omani population using tobacco products. Preventing tobacco initiation and promoting cessation are essential to reducing the NCD burden globally and nationally.</w:t>
      </w:r>
    </w:p>
    <w:p>
      <w:pPr>
        <w:pStyle w:val="Normal"/>
      </w:pPr>
      <w:r>
        <w:t xml:space="preserve">
</w:t>
      </w:r>
    </w:p>
    <w:tbl xmlns:a="http://schemas.openxmlformats.org/drawingml/2006/main" xmlns:pic="http://schemas.openxmlformats.org/drawingml/2006/picture">
      <w:tblPr>
        <w:tblLayout w:type="fixed"/>
        <w:jc w:val="center"/>
        <w:tblLook w:firstRow="1" w:lastRow="0" w:firstColumn="0" w:lastColumn="0" w:noHBand="0" w:noVBand="1"/>
      </w:tblPr>
      <w:tblGrid>
        <w:gridCol w:w="10512"/>
      </w:tblGrid>
      <w:tr>
        <w:trPr>
          <w:trHeight w:val="360" w:hRule="auto"/>
        </w:trPr>
        body1
        <w:tc>
          <w:tcPr>
            <w:tcBorders>
              <w:bottom w:val="none" w:sz="0" w:space="0" w:color="000000"/>
              <w:top w:val="none" w:sz="0" w:space="0" w:color="000000"/>
              <w:left w:val="none" w:sz="0" w:space="0" w:color="000000"/>
              <w:right w:val="none" w:sz="0" w:space="0" w:color="000000"/>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Findings</w:t>
            </w:r>
          </w:p>
        </w:tc>
      </w:tr>
    </w:tbl>
    <w:p>
      <w:pPr>
        <w:pStyle w:val="bullet"/>
      </w:pPr>
      <w:r>
        <w:rPr>
          <w:rFonts w:ascii="Arial" w:hAnsi="Arial" w:eastAsia="Arial" w:cs="Arial"/>
          <w:i w:val="false"/>
          <w:b w:val="true"/>
          <w:u w:val="none"/>
          <w:sz w:val="20"/>
          <w:szCs w:val="20"/>
          <w:color w:val="000000"/>
        </w:rPr>
        <w:t xml:space="preserve">Current Tobacco Use</w:t>
      </w:r>
      <w:r>
        <w:rPr>
          <w:rFonts w:ascii="Arial" w:hAnsi="Arial" w:eastAsia="Arial" w:cs="Arial"/>
          <w:i w:val="false"/>
          <w:b w:val="true"/>
          <w:u w:val="none"/>
          <w:sz w:val="20"/>
          <w:szCs w:val="20"/>
          <w:color w:val="000000"/>
        </w:rPr>
        <w:t xml:space="preserve">: </w:t>
      </w:r>
      <w:r>
        <w:t xml:space="preserve">The prevalence of current smokers in Oman increased from 7% in 2017 to 11% in 2024, with a significant change (p = 0.0002). Daily smoking also increased significantly from 6% to 8% (p = 0.0021), while non-daily smoking rose from 1% to 2% (p = 0.0028). Former smoking increased significantly from 3% to 5% (p = 0.0019). In contrast, the percentage of never smokers decreased significantly from 90% to 84% (p &lt; 0.0001). Significant changes were also observed in the use of specific tobacco products, including a decline in the use of cigars, cheroots, and cigarillos (p &lt; 0.0001) and an increase in shisha use among those aged 45-59 (p = 0.0017) and 60+ (p = 0.048). The use of smokeless tobacco products remained relatively low, with no significant changes observed.</w:t>
      </w:r>
    </w:p>
    <w:p>
      <w:pPr>
        <w:pStyle w:val="bullet"/>
      </w:pPr>
      <w:r>
        <w:rPr>
          <w:rFonts w:ascii="Arial" w:hAnsi="Arial" w:eastAsia="Arial" w:cs="Arial"/>
          <w:i w:val="false"/>
          <w:b w:val="true"/>
          <w:u w:val="none"/>
          <w:sz w:val="20"/>
          <w:szCs w:val="20"/>
          <w:color w:val="000000"/>
        </w:rPr>
        <w:t xml:space="preserve">Quitting Behaviour</w:t>
      </w:r>
      <w:r>
        <w:rPr>
          <w:rFonts w:ascii="Arial" w:hAnsi="Arial" w:eastAsia="Arial" w:cs="Arial"/>
          <w:i w:val="false"/>
          <w:b w:val="true"/>
          <w:u w:val="none"/>
          <w:sz w:val="20"/>
          <w:szCs w:val="20"/>
          <w:color w:val="000000"/>
        </w:rPr>
        <w:t xml:space="preserve">: </w:t>
      </w:r>
      <w:r>
        <w:t xml:space="preserve">Tobacco use trends in Oman show minimal significant changes between 2017 and 2024. Among current smokers who tried to stop smoking, none of the changes were significant, with the largest decrease of 12% observed in the 30-44 age group, although this was not statistically significant (p = 0.0639). Similarly, current smokers who have been advised by a doctor to stop smoking saw no significant changes, with the most notable increase of 87% in women aged 45-69, but this also did not reach significance (p = 0.0596). Overall, the lack of significant changes suggests that tobacco use patterns have remained relatively stable in Oman over this period.</w:t>
      </w:r>
    </w:p>
    <w:p>
      <w:pPr>
        <w:pStyle w:val="bullet"/>
      </w:pPr>
      <w:r>
        <w:rPr>
          <w:rFonts w:ascii="Arial" w:hAnsi="Arial" w:eastAsia="Arial" w:cs="Arial"/>
          <w:i w:val="false"/>
          <w:b w:val="true"/>
          <w:u w:val="none"/>
          <w:sz w:val="20"/>
          <w:szCs w:val="20"/>
          <w:color w:val="000000"/>
        </w:rPr>
        <w:t xml:space="preserve">Second-Hand Smoke Exposure</w:t>
      </w:r>
      <w:r>
        <w:rPr>
          <w:rFonts w:ascii="Arial" w:hAnsi="Arial" w:eastAsia="Arial" w:cs="Arial"/>
          <w:i w:val="false"/>
          <w:b w:val="true"/>
          <w:u w:val="none"/>
          <w:sz w:val="20"/>
          <w:szCs w:val="20"/>
          <w:color w:val="000000"/>
        </w:rPr>
        <w:t xml:space="preserve">: </w:t>
      </w:r>
      <w:r>
        <w:t xml:space="preserve">Exposure to second-hand smoke in the home decreased significantly among women, from 16% in 2017 to 9% in 2024 (p = 0.0012), and among those aged 60+, from 15% to 8% (p = 0.0083). In contrast, exposure to second-hand smoke in the workplace increased significantly, with an overall rise from 11% to 20% (p &lt; 0.001), particularly among men, from 12% to 25% (p &lt; 0.001), and those aged 15-29, from 10% to 19% (p = 0.0012), and 30-44, from 11% to 24% (p &lt; 0.001).</w:t>
      </w:r>
    </w:p>
    <w:p>
      <w:pPr/>
      <w:r>
        <w:br w:type="page"/>
      </w:r>
    </w:p>
    <w:tbl xmlns:a="http://schemas.openxmlformats.org/drawingml/2006/main" xmlns:pic="http://schemas.openxmlformats.org/drawingml/2006/picture">
      <w:tblPr>
        <w:tblLayout w:type="fixed"/>
        <w:jc w:val="center"/>
        <w:tblLook w:firstRow="1" w:lastRow="0" w:firstColumn="0" w:lastColumn="0" w:noHBand="0" w:noVBand="1"/>
      </w:tblPr>
      <w:tblGrid>
        <w:gridCol w:w="10512"/>
      </w:tblGrid>
      <w:tr>
        <w:trPr>
          <w:trHeight w:val="360" w:hRule="auto"/>
        </w:trPr>
        body1
        <w:tc>
          <w:tcPr>
            <w:tcBorders>
              <w:bottom w:val="none" w:sz="0" w:space="0" w:color="000000"/>
              <w:top w:val="none" w:sz="0" w:space="0" w:color="000000"/>
              <w:left w:val="none" w:sz="0" w:space="0" w:color="000000"/>
              <w:right w:val="none" w:sz="0" w:space="0" w:color="000000"/>
            </w:tcBorders>
            <w:shd w:val="clear" w:color="auto" w:fill="D9D9D9"/>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100" w:right="100" w:firstLine="0" w:firstLineChars="0"/>
              <w:rPr>
                <w:rFonts w:ascii="Helvetica" w:hAnsi="Helvetica" w:eastAsia="Helvetica" w:cs="Helvetica"/>
                <w:i w:val="false"/>
                <w:b w:val="true"/>
                <w:u w:val="none"/>
                <w:sz w:val="24"/>
                <w:szCs w:val="24"/>
                <w:color w:val="000000"/>
              </w:rPr>
            </w:pPr>
            <w:r>
              <w:rPr>
                <w:rFonts w:ascii="Helvetica" w:hAnsi="Helvetica" w:eastAsia="Helvetica" w:cs="Helvetica"/>
                <w:i w:val="false"/>
                <w:b w:val="true"/>
                <w:u w:val="none"/>
                <w:sz w:val="24"/>
                <w:szCs w:val="24"/>
                <w:color w:val="000000"/>
              </w:rPr>
              <w:t xml:space="preserve">Charts</w:t>
            </w:r>
          </w:p>
        </w:tc>
      </w:tr>
    </w:tbl>
    <w:p>
      <w:pPr>
        <w:pStyle w:val="Normal"/>
      </w:pPr>
      <w:r>
        <w:rPr/>
        <w:drawing>
          <wp:inline distT="0" distB="0" distL="0" distR="0">
            <wp:extent cx="6629400" cy="411480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15"/>
                    <a:stretch>
                      <a:fillRect/>
                    </a:stretch>
                  </pic:blipFill>
                  <pic:spPr bwMode="auto">
                    <a:xfrm>
                      <a:off x="0" y="0"/>
                      <a:ext cx="92075" cy="57150"/>
                    </a:xfrm>
                    <a:prstGeom prst="rect">
                      <a:avLst/>
                    </a:prstGeom>
                    <a:noFill/>
                  </pic:spPr>
                </pic:pic>
              </a:graphicData>
            </a:graphic>
          </wp:inline>
        </w:drawing>
      </w:r>
    </w:p>
    <w:p>
      <w:pPr>
        <w:pStyle w:val="Normal"/>
      </w:pPr>
      <w:r>
        <w:rPr/>
        <w:drawing>
          <wp:inline distT="0" distB="0" distL="0" distR="0">
            <wp:extent cx="6629400" cy="411480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6"/>
                    <a:stretch>
                      <a:fillRect/>
                    </a:stretch>
                  </pic:blipFill>
                  <pic:spPr bwMode="auto">
                    <a:xfrm>
                      <a:off x="0" y="0"/>
                      <a:ext cx="92075" cy="57150"/>
                    </a:xfrm>
                    <a:prstGeom prst="rect">
                      <a:avLst/>
                    </a:prstGeom>
                    <a:noFill/>
                  </pic:spPr>
                </pic:pic>
              </a:graphicData>
            </a:graphic>
          </wp:inline>
        </w:drawing>
      </w:r>
    </w:p>
    <w:p>
      <w:pPr>
        <w:pStyle w:val="Normal"/>
      </w:pPr>
      <w:r>
        <w:rPr/>
        <w:drawing>
          <wp:inline distT="0" distB="0" distL="0" distR="0">
            <wp:extent cx="6629400" cy="4114800"/>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7"/>
                    <a:stretch>
                      <a:fillRect/>
                    </a:stretch>
                  </pic:blipFill>
                  <pic:spPr bwMode="auto">
                    <a:xfrm>
                      <a:off x="0" y="0"/>
                      <a:ext cx="92075" cy="57150"/>
                    </a:xfrm>
                    <a:prstGeom prst="rect">
                      <a:avLst/>
                    </a:prstGeom>
                    <a:noFill/>
                  </pic:spPr>
                </pic:pic>
              </a:graphicData>
            </a:graphic>
          </wp:inline>
        </w:drawing>
      </w:r>
    </w:p>
    <w:p>
      <w:pPr>
        <w:pStyle w:val="Normal"/>
      </w:pPr>
      <w:r>
        <w:rPr/>
        <w:drawing>
          <wp:inline distT="0" distB="0" distL="0" distR="0">
            <wp:extent cx="6629400" cy="4114800"/>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8"/>
                    <a:stretch>
                      <a:fillRect/>
                    </a:stretch>
                  </pic:blipFill>
                  <pic:spPr bwMode="auto">
                    <a:xfrm>
                      <a:off x="0" y="0"/>
                      <a:ext cx="92075" cy="57150"/>
                    </a:xfrm>
                    <a:prstGeom prst="rect">
                      <a:avLst/>
                    </a:prstGeom>
                    <a:noFill/>
                  </pic:spPr>
                </pic:pic>
              </a:graphicData>
            </a:graphic>
          </wp:inline>
        </w:drawing>
      </w:r>
    </w:p>
    <w:p>
      <w:pPr>
        <w:pStyle w:val="Normal"/>
      </w:pPr>
      <w:r>
        <w:rPr/>
        <w:drawing>
          <wp:inline distT="0" distB="0" distL="0" distR="0">
            <wp:extent cx="6629400" cy="4114800"/>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9"/>
                    <a:stretch>
                      <a:fillRect/>
                    </a:stretch>
                  </pic:blipFill>
                  <pic:spPr bwMode="auto">
                    <a:xfrm>
                      <a:off x="0" y="0"/>
                      <a:ext cx="92075" cy="57150"/>
                    </a:xfrm>
                    <a:prstGeom prst="rect">
                      <a:avLst/>
                    </a:prstGeom>
                    <a:noFill/>
                  </pic:spPr>
                </pic:pic>
              </a:graphicData>
            </a:graphic>
          </wp:inline>
        </w:drawing>
      </w:r>
    </w:p>
    <w:sectPr w:rsidR="00C47B8A" w:rsidRPr="0089270D" w:rsidSect="00680F46">
      <w:headerReference w:type="even" r:id="rId7"/>
      <w:headerReference w:type="default" r:id="rId8"/>
      <w:footerReference w:type="even" r:id="rId9"/>
      <w:footerReference w:type="default" r:id="rId10"/>
      <w:headerReference w:type="first" r:id="rId11"/>
      <w:footerReference w:type="first" r:id="rId12"/>
      <w:pgSz w:w="11906" w:h="16838"/>
      <w:pgMar w:top="1440" w:right="737" w:bottom="1440" w:left="737" w:header="680" w:footer="709"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50EAE9" w14:textId="77777777" w:rsidR="00D5084D" w:rsidRDefault="00D5084D" w:rsidP="00D427AF">
      <w:r>
        <w:separator/>
      </w:r>
    </w:p>
  </w:endnote>
  <w:endnote w:type="continuationSeparator" w:id="0">
    <w:p w14:paraId="44B678EE" w14:textId="77777777" w:rsidR="00D5084D" w:rsidRDefault="00D5084D" w:rsidP="00D427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40982265"/>
      <w:docPartObj>
        <w:docPartGallery w:val="Page Numbers (Bottom of Page)"/>
        <w:docPartUnique/>
      </w:docPartObj>
    </w:sdtPr>
    <w:sdtContent>
      <w:p w14:paraId="7ACB4BD3" w14:textId="0CD44354" w:rsidR="00966848" w:rsidRDefault="00966848" w:rsidP="00E81E8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C9F2093" w14:textId="77777777" w:rsidR="00946C5B" w:rsidRDefault="00946C5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442989871"/>
      <w:docPartObj>
        <w:docPartGallery w:val="Page Numbers (Bottom of Page)"/>
        <w:docPartUnique/>
      </w:docPartObj>
    </w:sdtPr>
    <w:sdtContent>
      <w:p w14:paraId="6F4B1C03" w14:textId="7C9A7139" w:rsidR="00966848" w:rsidRDefault="00966848" w:rsidP="00E81E8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9DFE05E" w14:textId="77777777" w:rsidR="00946C5B" w:rsidRDefault="00946C5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05171" w14:textId="77777777" w:rsidR="00946C5B" w:rsidRDefault="00946C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B8DEC6" w14:textId="77777777" w:rsidR="00D5084D" w:rsidRDefault="00D5084D" w:rsidP="00D427AF">
      <w:r>
        <w:separator/>
      </w:r>
    </w:p>
  </w:footnote>
  <w:footnote w:type="continuationSeparator" w:id="0">
    <w:p w14:paraId="11C6AB86" w14:textId="77777777" w:rsidR="00D5084D" w:rsidRDefault="00D5084D" w:rsidP="00D427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0792DF" w14:textId="77777777" w:rsidR="00946C5B" w:rsidRDefault="00946C5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8862F1" w14:textId="55214F40" w:rsidR="00D427AF" w:rsidRDefault="004C56AA" w:rsidP="00AD077D">
    <w:pPr>
      <w:pStyle w:val="Header"/>
      <w:jc w:val="center"/>
    </w:pPr>
    <w:r>
      <w:rPr>
        <w:noProof/>
      </w:rPr>
      <mc:AlternateContent>
        <mc:Choice Requires="wps">
          <w:drawing>
            <wp:anchor distT="0" distB="0" distL="114300" distR="114300" simplePos="0" relativeHeight="251659264" behindDoc="0" locked="0" layoutInCell="1" allowOverlap="1" wp14:anchorId="79EA2CC7" wp14:editId="6F4758ED">
              <wp:simplePos x="0" y="0"/>
              <wp:positionH relativeFrom="column">
                <wp:posOffset>-467995</wp:posOffset>
              </wp:positionH>
              <wp:positionV relativeFrom="paragraph">
                <wp:posOffset>-417195</wp:posOffset>
              </wp:positionV>
              <wp:extent cx="7550590" cy="860080"/>
              <wp:effectExtent l="0" t="0" r="6350" b="3810"/>
              <wp:wrapNone/>
              <wp:docPr id="2140200295" name="Rectangle 1"/>
              <wp:cNvGraphicFramePr/>
              <a:graphic xmlns:a="http://schemas.openxmlformats.org/drawingml/2006/main">
                <a:graphicData uri="http://schemas.microsoft.com/office/word/2010/wordprocessingShape">
                  <wps:wsp>
                    <wps:cNvSpPr/>
                    <wps:spPr>
                      <a:xfrm>
                        <a:off x="0" y="0"/>
                        <a:ext cx="7550590" cy="860080"/>
                      </a:xfrm>
                      <a:prstGeom prst="rect">
                        <a:avLst/>
                      </a:prstGeom>
                      <a:solidFill>
                        <a:schemeClr val="accent1">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C41F2C1" w14:textId="2246D095" w:rsidR="00056202" w:rsidRDefault="00056202" w:rsidP="00056202">
                          <w:pPr>
                            <w:jc w:val="center"/>
                            <w:rPr>
                              <w:sz w:val="36"/>
                              <w:szCs w:val="36"/>
                            </w:rPr>
                          </w:pPr>
                          <w:bookmarkStart w:id="0" w:name="header"/>
                          <w:r w:rsidRPr="00E04BC0">
                            <w:rPr>
                              <w:sz w:val="36"/>
                              <w:szCs w:val="36"/>
                            </w:rPr>
                            <w:t>Comparison Fact Sheet: Oman 2017 &amp; 2024</w:t>
                          </w:r>
                          <w:bookmarkEnd w:id="0"/>
                        </w:p>
                        <w:p w14:paraId="6397170D" w14:textId="1E8072A6" w:rsidR="00902713" w:rsidRPr="00E04BC0" w:rsidRDefault="00902713" w:rsidP="00056202">
                          <w:pPr>
                            <w:jc w:val="center"/>
                            <w:rPr>
                              <w:sz w:val="36"/>
                              <w:szCs w:val="36"/>
                            </w:rPr>
                          </w:pPr>
                          <w:bookmarkStart w:id="1" w:name="header2"/>
                          <w:r>
                            <w:rPr>
                              <w:sz w:val="36"/>
                              <w:szCs w:val="36"/>
                            </w:rPr>
                            <w:t>Tobacco use</w:t>
                          </w:r>
                          <w:bookmarkEnd w:id="1"/>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9EA2CC7" id="Rectangle 1" o:spid="_x0000_s1026" style="position:absolute;left:0;text-align:left;margin-left:-36.85pt;margin-top:-32.85pt;width:594.55pt;height:67.7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" fillcolor="#2f5496 [2404]" stroked="f" strokeweight="1pt">
              <v:textbox>
                <w:txbxContent>
                  <w:p w14:paraId="4C41F2C1" w14:textId="2246D095" w:rsidR="00056202" w:rsidRDefault="00056202" w:rsidP="00056202">
                    <w:pPr>
                      <w:jc w:val="center"/>
                      <w:rPr>
                        <w:sz w:val="36"/>
                        <w:szCs w:val="36"/>
                      </w:rPr>
                    </w:pPr>
                    <w:bookmarkStart w:id="2" w:name="header"/>
                    <w:r w:rsidRPr="00E04BC0">
                      <w:rPr>
                        <w:sz w:val="36"/>
                        <w:szCs w:val="36"/>
                      </w:rPr>
                      <w:t>header</w:t>
                    </w:r>
                    <w:bookmarkEnd w:id="2"/>
                  </w:p>
                  <w:p w14:paraId="6397170D" w14:textId="1E8072A6" w:rsidR="00902713" w:rsidRPr="00E04BC0" w:rsidRDefault="00902713" w:rsidP="00056202">
                    <w:pPr>
                      <w:jc w:val="center"/>
                      <w:rPr>
                        <w:sz w:val="36"/>
                        <w:szCs w:val="36"/>
                      </w:rPr>
                    </w:pPr>
                    <w:bookmarkStart w:id="3" w:name="header2"/>
                    <w:r>
                      <w:rPr>
                        <w:sz w:val="36"/>
                        <w:szCs w:val="36"/>
                      </w:rPr>
                      <w:t>header2</w:t>
                    </w:r>
                    <w:bookmarkEnd w:id="3"/>
                  </w:p>
                </w:txbxContent>
              </v:textbox>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F358BE" w14:textId="77777777" w:rsidR="00946C5B" w:rsidRDefault="00946C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AC7A6356"/>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5802AE9"/>
    <w:multiLevelType w:val="multilevel"/>
    <w:tmpl w:val="08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2A13503B"/>
    <w:multiLevelType w:val="hybridMultilevel"/>
    <w:tmpl w:val="C0389990"/>
    <w:lvl w:ilvl="0" w:tplc="71E4AF42">
      <w:start w:val="1"/>
      <w:numFmt w:val="bullet"/>
      <w:pStyle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7D381096"/>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754354197">
    <w:abstractNumId w:val="2"/>
  </w:num>
  <w:num w:numId="2" w16cid:durableId="385421868">
    <w:abstractNumId w:val="0"/>
  </w:num>
  <w:num w:numId="3" w16cid:durableId="382798034">
    <w:abstractNumId w:val="1"/>
  </w:num>
  <w:num w:numId="4" w16cid:durableId="1191411409">
    <w:abstractNumId w:val="3"/>
  </w:num>
</w:numbering>
</file>

<file path=word/settings.xml><?xml version="1.0" encoding="utf-8"?>
<w:settings xmlns:w="http://schemas.openxmlformats.org/wordprocessingml/2006/main">
  <w:zoom w:percent="180"/>
  <w:defaultTabStop w:val="720"/>
  <w:hyphenationZone w:val="360"/>
  <w:compat>
    <w:compatSetting w:name="compatibilityMode" w:uri="http://schemas.microsoft.com/office/word" w:val="15"/>
  </w:compat>
  <w:decimalSymbol w:val="."/>
  <w:listSeparator w:val=","/>
  <w:evenAndOddHeade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F66"/>
    <w:pPr>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1C2CFB"/>
    <w:pPr>
      <w:spacing w:after="100"/>
      <w:contextualSpacing/>
    </w:pPr>
    <w:rPr>
      <w:rFonts w:ascii="Gill Sans MT" w:hAnsi="Gill Sans MT"/>
      <w:sz w:val="22"/>
      <w:szCs w:val="22"/>
      <w:lang w:val="en-US"/>
    </w:rPr>
  </w:style>
  <w:style w:type="paragraph" w:styleId="ListParagraph">
    <w:name w:val="List Paragraph"/>
    <w:basedOn w:val="Normal"/>
    <w:uiPriority w:val="34"/>
    <w:qFormat/>
    <w:rsid w:val="00C47B8A"/>
    <w:pPr>
      <w:ind w:left="720"/>
      <w:contextualSpacing/>
    </w:pPr>
  </w:style>
  <w:style w:type="paragraph" w:customStyle="1" w:styleId="bullet">
    <w:name w:val="bullet"/>
    <w:basedOn w:val="ListParagraph"/>
    <w:autoRedefine/>
    <w:qFormat/>
    <w:rsid w:val="002A555B"/>
    <w:pPr>
      <w:numPr>
        <w:numId w:val="1"/>
      </w:numPr>
      <w:ind w:left="357" w:hanging="357"/>
    </w:pPr>
  </w:style>
  <w:style w:type="numbering" w:customStyle="1" w:styleId="CurrentList1">
    <w:name w:val="Current List1"/>
    <w:uiPriority w:val="99"/>
    <w:rsid w:val="009F33A2"/>
    <w:pPr>
      <w:numPr>
        <w:numId w:val="3"/>
      </w:numPr>
    </w:pPr>
  </w:style>
  <w:style w:type="paragraph" w:styleId="Header">
    <w:name w:val="header"/>
    <w:basedOn w:val="Normal"/>
    <w:link w:val="HeaderChar"/>
    <w:uiPriority w:val="99"/>
    <w:unhideWhenUsed/>
    <w:rsid w:val="00D427AF"/>
    <w:pPr>
      <w:tabs>
        <w:tab w:val="center" w:pos="4513"/>
        <w:tab w:val="right" w:pos="9026"/>
      </w:tabs>
    </w:pPr>
  </w:style>
  <w:style w:type="character" w:customStyle="1" w:styleId="HeaderChar">
    <w:name w:val="Header Char"/>
    <w:basedOn w:val="DefaultParagraphFont"/>
    <w:link w:val="Header"/>
    <w:uiPriority w:val="99"/>
    <w:rsid w:val="00D427AF"/>
  </w:style>
  <w:style w:type="paragraph" w:styleId="Footer">
    <w:name w:val="footer"/>
    <w:basedOn w:val="Normal"/>
    <w:link w:val="FooterChar"/>
    <w:uiPriority w:val="99"/>
    <w:unhideWhenUsed/>
    <w:rsid w:val="00D427AF"/>
    <w:pPr>
      <w:tabs>
        <w:tab w:val="center" w:pos="4513"/>
        <w:tab w:val="right" w:pos="9026"/>
      </w:tabs>
    </w:pPr>
  </w:style>
  <w:style w:type="character" w:customStyle="1" w:styleId="FooterChar">
    <w:name w:val="Footer Char"/>
    <w:basedOn w:val="DefaultParagraphFont"/>
    <w:link w:val="Footer"/>
    <w:uiPriority w:val="99"/>
    <w:rsid w:val="00D427AF"/>
  </w:style>
  <w:style w:type="table" w:styleId="TableGrid">
    <w:name w:val="Table Grid"/>
    <w:basedOn w:val="TableNormal"/>
    <w:uiPriority w:val="39"/>
    <w:rsid w:val="004A29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9668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
<Relationship Id="rId8" Type="http://schemas.openxmlformats.org/officeDocument/2006/relationships/header" Target="header2.xml"/>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12" Type="http://schemas.openxmlformats.org/officeDocument/2006/relationships/footer" Target="footer3.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3.xml"/>
<Relationship Id="rId5" Type="http://schemas.openxmlformats.org/officeDocument/2006/relationships/footnotes" Target="footnotes.xml"/>
<Relationship Id="rId10"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footer" Target="footer1.xml"/>
<Relationship Id="rId14" Type="http://schemas.openxmlformats.org/officeDocument/2006/relationships/theme" Target="theme/theme1.xml"/>
<Relationship Id="rId15" Type="http://schemas.openxmlformats.org/officeDocument/2006/relationships/image" Target="media/74d6523d0c2ce60cd7f28b2a2550b6f570751954.png"/>
<Relationship Id="rId16" Type="http://schemas.openxmlformats.org/officeDocument/2006/relationships/image" Target="media/8763facd147d5487eaae30e5795918bbb97458a1.png"/>
<Relationship Id="rId17" Type="http://schemas.openxmlformats.org/officeDocument/2006/relationships/image" Target="media/e240e49bb9e03e951d6cfdaf23d6f65cea9203d5.png"/>
<Relationship Id="rId18" Type="http://schemas.openxmlformats.org/officeDocument/2006/relationships/image" Target="media/0769a75c929504cc5255a383139a3733732a20a2.png"/>
<Relationship Id="rId19" Type="http://schemas.openxmlformats.org/officeDocument/2006/relationships/image" Target="media/9c12d4cd4ca53bf0268c4cf30f3870d1a0d3fab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Lucas  Malla</dc:creator>
  <cp:keywords/>
  <dc:description/>
  <cp:lastModifiedBy>lucasmalla</cp:lastModifiedBy>
  <cp:revision>29</cp:revision>
  <dcterms:created xsi:type="dcterms:W3CDTF">2025-10-01T16:57:00Z</dcterms:created>
  <dcterms:modified xsi:type="dcterms:W3CDTF">2025-12-11T08:19:29Z</dcterms:modified>
</cp:coreProperties>
</file>