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Cardiovascular diseases, including heart attacks, angina (chest pains related to heart disease), and strokes, are major causes of death and disability globally, accounting for 17.9 million deaths per year, which is approximately 31% of all deaths worldwide, and in [country name]. According to the World Health Organization (WHO), the global prevalence of cardiovascular disease is around 527 million cases, with an estimated 1.13 billion people living with hypertension, a major risk factor for CVD. Monitoring the prevalence of self-reported history of these events, which affects approximately 92 million people in the United States alone, and assessing the current predicted risk of CVD in the population, which is estimated to be around 37.2% for males and 26.7% for females aged 30 years and above in some countries, provides crucial insight into the burden of disease and helps guide preventive strategies.</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Prevalence of self-reported cardiovascular events</w:t>
      </w:r>
      <w:r>
        <w:rPr>
          <w:rFonts w:ascii="Arial" w:hAnsi="Arial" w:eastAsia="Arial" w:cs="Arial"/>
          <w:i w:val="false"/>
          <w:b w:val="true"/>
          <w:u w:val="none"/>
          <w:sz w:val="20"/>
          <w:szCs w:val="20"/>
          <w:color w:val="000000"/>
        </w:rPr>
        <w:t xml:space="preserve">: </w:t>
      </w:r>
      <w:r>
        <w:t xml:space="preserve">Cardiovascular disease risk shows a significant increase in the prevalence of heart attacks, chest pain from heart disease, or strokes. Across all groups, the change from 2017 to 2024 was significant, with a p-value of 0. The total population saw a 10-point increase, from 1 to 11. Significant increases were also observed among men and women, with changes of 6 and 13 points, respectively. The 30-44 and 45-59 age ranges experienced significant 9 and 12-point increases. Stratified by sex and age, men 18-44 and 45-69, and women 18-44 and 45-69, all showed significant increases, with p-values of 0, indicating a substantial rise in cardiovascular disease risk across various demographics.</w:t>
      </w:r>
    </w:p>
    <w:p>
      <w:pPr>
        <w:pStyle w:val="bullet"/>
      </w:pPr>
      <w:r>
        <w:rPr>
          <w:rFonts w:ascii="Arial" w:hAnsi="Arial" w:eastAsia="Arial" w:cs="Arial"/>
          <w:i w:val="false"/>
          <w:b w:val="true"/>
          <w:u w:val="none"/>
          <w:sz w:val="20"/>
          <w:szCs w:val="20"/>
          <w:color w:val="000000"/>
        </w:rPr>
        <w:t xml:space="preserve">Predicted 10-year cardiovascular disease risk</w:t>
      </w:r>
      <w:r>
        <w:rPr>
          <w:rFonts w:ascii="Arial" w:hAnsi="Arial" w:eastAsia="Arial" w:cs="Arial"/>
          <w:i w:val="false"/>
          <w:b w:val="true"/>
          <w:u w:val="none"/>
          <w:sz w:val="20"/>
          <w:szCs w:val="20"/>
          <w:color w:val="000000"/>
        </w:rPr>
        <w:t xml:space="preserve">: </w:t>
      </w:r>
      <w:r>
        <w:t xml:space="preserve">Cardiovascular disease risk has undergone notable shifts between 2017 and 2024. The proportion of the population with a 10-year CVD risk of less than 10% decreased by 3%, from 79% to 76%, although this change was not significant (p = 0.1269). Significant changes were observed in specific demographics, with men aged 45-69 experiencing a 14% decrease (p = 0.0323) and women in the same age group seeing a 13% decrease (p = 0.0469) in their respective 10-year CVD risk levels. 
In contrast, the percentage of the population with a 10-year CVD risk of 20% or higher increased significantly, from 2% to 4% (p = 0.0105), with men driving this change, rising from 1% to 5% (p &lt; 0.05). The proportion of the population with a 10-year CVD risk of 20% or higher, or with existing CVD, also saw a significant increase, rising from 3% to 18% (p &lt; 0.05), with both men and women contributing to this trend, increasing by 11% (p &lt; 0.05) and 17% (p &lt; 0.05), respectively.</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Cardiovascular disease risk</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248d50deb64b98e20241995426ada6c15e35bd2e.png"/>
<Relationship Id="rId16" Type="http://schemas.openxmlformats.org/officeDocument/2006/relationships/image" Target="media/98bbe94104fe0cffd5f015941f4f2374c6a4b9f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2025-12-11T09:41:59Z</dcterms:modified>
</cp:coreProperties>
</file>