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7529" w14:textId="226976EE" w:rsidR="00C47B8A" w:rsidRPr="0089270D" w:rsidRDefault="00C47B8A" w:rsidP="00E33F62">
      <w:pPr>
        <w:rPr>
          <w:color w:val="A8222D"/>
        </w:r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Background</w:t>
            </w:r>
          </w:p>
        </w:tc>
      </w:tr>
    </w:tbl>
    <w:p>
      <w:pPr>
        <w:pStyle w:val="Normal"/>
      </w:pPr>
      <w:r>
        <w:t xml:space="preserve">Cervical cancer is one of the most preventable and treatable forms of cancer, yet it remains a major public health challenge in many low- and middle-income countries, accounting for approximately 311,000 deaths worldwide in 2018, with about 85% of these deaths occurring in less developed regions. Persistent infection with high-risk human papillomavirus (HPV), which affects around 84% of men and women at some point in their lifetime, is the main cause of cervical cancer. As part of the WHO’s global initiative to eliminate cervical cancer as a public health problem by 2030, with targets including 90% of girls fully vaccinated with the HPV vaccine, 70% of women screened for cervical cancer, and 90% of women with pre-cancer treated, countries are encouraged to scale up HPV vaccination, high-performance screening, and effective treatment. Early detection through regular screening, which can reduce cervical cancer mortality by up to 80%, and timely treatment of pre-cancerous lesions, which can prevent up to 95% of cervical cancer cases, are essential strategies for prevention.</w:t>
      </w:r>
    </w:p>
    <w:p>
      <w:pPr>
        <w:pStyle w:val="Normal"/>
      </w:pPr>
      <w:r>
        <w:t xml:space="preserve">
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Findings</w:t>
            </w:r>
          </w:p>
        </w:tc>
      </w:tr>
    </w:tbl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Cervical cancer screening uptake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Cervical cancer screening prevalence increased significantly among the total population, from 6% in 2017 to 49% in 2024, with a p-value of 0. This significant change was also observed across various demographics, including women, where prevalence rose from 6% to 49%, and among specific age groups, such as 30-44 years, where it increased from 6% to 67%, and 45-59 years, where it rose from 6% to 58%, all with a p-value of 0. Notably, significant increases were also seen among women aged 18-44 and 45-69, with changes from 6% to 47% and from 7% to 53%, respectively, both with a p-value of 0.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Charts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629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EAE9" w14:textId="77777777" w:rsidR="00D5084D" w:rsidRDefault="00D5084D" w:rsidP="00D427AF">
      <w:r>
        <w:separator/>
      </w:r>
    </w:p>
  </w:endnote>
  <w:endnote w:type="continuationSeparator" w:id="0">
    <w:p w14:paraId="44B678EE" w14:textId="77777777" w:rsidR="00D5084D" w:rsidRDefault="00D5084D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171" w14:textId="77777777" w:rsidR="00946C5B" w:rsidRDefault="0094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8DEC6" w14:textId="77777777" w:rsidR="00D5084D" w:rsidRDefault="00D5084D" w:rsidP="00D427AF">
      <w:r>
        <w:separator/>
      </w:r>
    </w:p>
  </w:footnote>
  <w:footnote w:type="continuationSeparator" w:id="0">
    <w:p w14:paraId="11C6AB86" w14:textId="77777777" w:rsidR="00D5084D" w:rsidRDefault="00D5084D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92DF" w14:textId="77777777" w:rsidR="00946C5B" w:rsidRDefault="00946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6F4758ED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6350" b="381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Default="00056202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E04BC0">
                            <w:rPr>
                              <w:sz w:val="36"/>
                              <w:szCs w:val="36"/>
                            </w:rPr>
                            <w:t>Comparison Fact Sheet: ISO 2017 &amp; 2024</w:t>
                          </w:r>
                          <w:bookmarkEnd w:id="0"/>
                        </w:p>
                        <w:p w14:paraId="6397170D" w14:textId="1E8072A6" w:rsidR="00902713" w:rsidRPr="00E04BC0" w:rsidRDefault="00902713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1" w:name="header2"/>
                          <w:r>
                            <w:rPr>
                              <w:sz w:val="36"/>
                              <w:szCs w:val="36"/>
                            </w:rPr>
                            <w:t>Cervical cancer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" fillcolor="#2f5496 [2404]" stroked="f" strokeweight="1pt">
              <v:textbox>
                <w:txbxContent>
                  <w:p w14:paraId="4C41F2C1" w14:textId="2246D095" w:rsidR="00056202" w:rsidRDefault="00056202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2" w:name="header"/>
                    <w:r w:rsidRPr="00E04BC0">
                      <w:rPr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E04BC0" w:rsidRDefault="00902713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3" w:name="header2"/>
                    <w:r>
                      <w:rPr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58BE" w14:textId="77777777" w:rsidR="00946C5B" w:rsidRDefault="0094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fontTable" Target="fontTable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oter" Target="footer3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header" Target="header3.xml"/>
<Relationship Id="rId5" Type="http://schemas.openxmlformats.org/officeDocument/2006/relationships/footnotes" Target="footnotes.xml"/>
<Relationship Id="rId10" Type="http://schemas.openxmlformats.org/officeDocument/2006/relationships/footer" Target="footer2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theme" Target="theme/theme1.xml"/>
<Relationship Id="rId15" Type="http://schemas.openxmlformats.org/officeDocument/2006/relationships/image" Target="media/c6a938820c35aa5da9aea50530ab197b5c45a6ad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29</cp:revision>
  <dcterms:created xsi:type="dcterms:W3CDTF">2025-10-01T16:57:00Z</dcterms:created>
  <dcterms:modified xsi:type="dcterms:W3CDTF">2025-12-11T09:42:04Z</dcterms:modified>
</cp:coreProperties>
</file>