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Raised blood pressure, also known as hypertension, is one of the most significant risk factors for cardiovascular disease (CVD), stroke, and kidney disease, with approximately 1.28 billion people worldwide living with the condition, according to the World Health Organization (WHO). Globally, hypertension accounts for an estimated 10 million deaths annually, which is roughly 19% of all deaths, and is a leading cause of premature mortality, resulting in 218 million years of life lost in 2019. Effective prevention, early detection, and management of hypertension are crucial for reducing the non-communicable disease (NCD) burden, as the International Organization for Standardization (ISO) aims to promote global health through standardized practices, with ISO 9001 and ISO 13485 being key standards for healthcare quality management and medical device safety, respectively.</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Mean blood pressure and prevalence of hypertension</w:t>
      </w:r>
      <w:r>
        <w:rPr>
          <w:rFonts w:ascii="Arial" w:hAnsi="Arial" w:eastAsia="Arial" w:cs="Arial"/>
          <w:i w:val="false"/>
          <w:b w:val="true"/>
          <w:u w:val="none"/>
          <w:sz w:val="20"/>
          <w:szCs w:val="20"/>
          <w:color w:val="000000"/>
        </w:rPr>
        <w:t xml:space="preserve">: </w:t>
      </w:r>
      <w:r>
        <w:t xml:space="preserve">Mean systolic blood pressure decreased by 6 mmHg from 126 mmHg in 2017 to 120 mmHg in 2024, with notable decreases among women and the 30-44 age group. Diastolic blood pressure also decreased, from 81 mmHg to 79 mmHg, with significant decreases observed among women. The prevalence of raised blood pressure, defined as SBP ≥140 and/or DBP ≥ 90 mmHg or currently on medication, decreased from 25% to 22% (p = 0.0246), with significant decreases among women (28% to 22%, p = 0.011) and the 30-44 age group (26% to 21%, p = 0.0326). Significant decreases were also observed among men and women aged 18-44, with p-values of 5e-04 and 0, respectively.</w:t>
      </w:r>
    </w:p>
    <w:p>
      <w:pPr>
        <w:pStyle w:val="bullet"/>
      </w:pPr>
      <w:r>
        <w:rPr>
          <w:rFonts w:ascii="Arial" w:hAnsi="Arial" w:eastAsia="Arial" w:cs="Arial"/>
          <w:i w:val="false"/>
          <w:b w:val="true"/>
          <w:u w:val="none"/>
          <w:sz w:val="20"/>
          <w:szCs w:val="20"/>
          <w:color w:val="000000"/>
        </w:rPr>
        <w:t xml:space="preserve">Diagnosis, treatment and control</w:t>
      </w:r>
      <w:r>
        <w:rPr>
          <w:rFonts w:ascii="Arial" w:hAnsi="Arial" w:eastAsia="Arial" w:cs="Arial"/>
          <w:i w:val="false"/>
          <w:b w:val="true"/>
          <w:u w:val="none"/>
          <w:sz w:val="20"/>
          <w:szCs w:val="20"/>
          <w:color w:val="000000"/>
        </w:rPr>
        <w:t xml:space="preserve">: </w:t>
      </w:r>
      <w:r>
        <w:t xml:space="preserve">Raised blood pressure diagnosis among those with raised blood pressure or on medication increased significantly from 12% in 2017 to 44% in 2024, with a significant change of 32% (p &lt; 0.05). This increase was observed across all categories, including men and women, with significant changes in women (44% increase, p &lt; 0.05) and men (19% increase, p = 0.0264 for men aged 18-44). 
Treatment of raised blood pressure also showed significant increases, from 4% in 2017 to 29% in 2024, with a 25% significant change (p &lt; 0.05), including significant increases among women (35% increase, p &lt; 0.05) and men (14% increase, p &lt; 0.05). Raised blood pressure control improved significantly from 1% in 2017 to 14% in 2024, with a 13% significant change (p &lt; 0.05), including significant improvements among women (20% increase, p &lt; 0.05) and men aged 18-44 (4% increase, p = 0.0125).</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Hypertension or raised blood pressure</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6eb8bd956a6e288cee89eccebf10fbead232f91b.png"/>
<Relationship Id="rId16" Type="http://schemas.openxmlformats.org/officeDocument/2006/relationships/image" Target="media/1335cee7bc7526d2e89e31778d03c4b939372148.png"/>
<Relationship Id="rId17" Type="http://schemas.openxmlformats.org/officeDocument/2006/relationships/image" Target="media/180880eb475666cc1736b9d97a28a458c03a35ac.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2025-12-11T09:39:19Z</dcterms:modified>
</cp:coreProperties>
</file>