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97529" w14:textId="226976EE" w:rsidR="00C47B8A" w:rsidRPr="0089270D" w:rsidRDefault="00C47B8A" w:rsidP="00E33F62">
      <w:pPr>
        <w:rPr>
          <w:color w:val="A8222D"/>
        </w:rPr>
      </w:pP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Background</w:t>
            </w:r>
          </w:p>
        </w:tc>
      </w:tr>
    </w:tbl>
    <w:p>
      <w:pPr>
        <w:pStyle w:val="Normal"/>
      </w:pPr>
      <w:r>
        <w:t xml:space="preserve">The presence of multiple risk factors in an individual greatly increases the likelihood of developing serious Non-Communicable Diseases (NCDs) such as cardiovascular disease, diabetes, and cancer, which account for 71% of all deaths worldwide, with 77% of all NCD deaths occurring in low- and middle-income countries. According to the World Health Organization (WHO), 1.35 million people die from cardiovascular diseases, 1.6 million from diabetes, and 9.6 million from cancer each year. Understanding how these risk factors cluster in the population, with 39% of adults being overweight and 13% obese, provides critical insight for targeted prevention, health promotion, and integrated service delivery, as 80% of heart disease, stroke, and type 2 diabetes, and 30% of all cancer cases can be prevented through modifications to lifestyle and environment.</w:t>
      </w:r>
    </w:p>
    <w:p>
      <w:pPr>
        <w:pStyle w:val="Normal"/>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Findings</w:t>
            </w:r>
          </w:p>
        </w:tc>
      </w:tr>
    </w:tbl>
    <w:p>
      <w:pPr>
        <w:pStyle w:val="bullet"/>
      </w:pPr>
      <w:r>
        <w:rPr>
          <w:rFonts w:ascii="Arial" w:hAnsi="Arial" w:eastAsia="Arial" w:cs="Arial"/>
          <w:i w:val="false"/>
          <w:b w:val="true"/>
          <w:u w:val="none"/>
          <w:sz w:val="20"/>
          <w:szCs w:val="20"/>
          <w:color w:val="000000"/>
        </w:rPr>
        <w:t xml:space="preserve">Overall distribution of risk factors</w:t>
      </w:r>
      <w:r>
        <w:rPr>
          <w:rFonts w:ascii="Arial" w:hAnsi="Arial" w:eastAsia="Arial" w:cs="Arial"/>
          <w:i w:val="false"/>
          <w:b w:val="true"/>
          <w:u w:val="none"/>
          <w:sz w:val="20"/>
          <w:szCs w:val="20"/>
          <w:color w:val="000000"/>
        </w:rPr>
        <w:t xml:space="preserve">: </w:t>
      </w:r>
      <w:r>
        <w:t xml:space="preserve">Combined risk factors showed significant changes between 2017 and 2024. The proportion of individuals with 1-2 risk factors increased significantly, from 54 to 78, with a p-value of 0.0047. This increase was also observed in men (p = 2e-04) and those aged 30-44 (p = 0.0024). In contrast, the proportion of individuals with 3-5 risk factors decreased significantly, from 43 to 18, with a p-value of 0.0014. Significant decreases were also seen in men (p = 1e-04) and those aged 30-44 (p = 0.0015). The summary of combined risk factors for individuals aged 18-44 showed a significant decrease in the total proportion, from 44 to 13, with a p-value of 3e-04, while women aged 18-44 showed a significant decrease, from 68 to 15, with a p-value of 9e-04.</w:t>
      </w:r>
    </w:p>
    <w:p>
      <w:pPr/>
      <w:r>
        <w:br w:type="page"/>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Charts</w:t>
            </w:r>
          </w:p>
        </w:tc>
      </w:tr>
    </w:tbl>
    <w:p>
      <w:pPr>
        <w:pStyle w:val="Normal"/>
      </w:pPr>
      <w:r>
        <w:rPr/>
        <w:drawing>
          <wp:inline distT="0" distB="0" distL="0" distR="0">
            <wp:extent cx="6629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5"/>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tretch>
                      <a:fillRect/>
                    </a:stretch>
                  </pic:blipFill>
                  <pic:spPr bwMode="auto">
                    <a:xfrm>
                      <a:off x="0" y="0"/>
                      <a:ext cx="92075" cy="57150"/>
                    </a:xfrm>
                    <a:prstGeom prst="rect">
                      <a:avLst/>
                    </a:prstGeom>
                    <a:noFill/>
                  </pic:spPr>
                </pic:pic>
              </a:graphicData>
            </a:graphic>
          </wp:inline>
        </w:drawing>
      </w:r>
    </w:p>
    <w:sectPr w:rsidR="00C47B8A" w:rsidRPr="0089270D" w:rsidSect="00680F46">
      <w:headerReference w:type="even" r:id="rId7"/>
      <w:headerReference w:type="default" r:id="rId8"/>
      <w:footerReference w:type="even" r:id="rId9"/>
      <w:footerReference w:type="default" r:id="rId10"/>
      <w:headerReference w:type="first" r:id="rId11"/>
      <w:footerReference w:type="first" r:id="rId12"/>
      <w:pgSz w:w="11906" w:h="16838"/>
      <w:pgMar w:top="1440" w:right="737" w:bottom="1440" w:left="737" w:header="680"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0EAE9" w14:textId="77777777" w:rsidR="00D5084D" w:rsidRDefault="00D5084D" w:rsidP="00D427AF">
      <w:r>
        <w:separator/>
      </w:r>
    </w:p>
  </w:endnote>
  <w:endnote w:type="continuationSeparator" w:id="0">
    <w:p w14:paraId="44B678EE" w14:textId="77777777" w:rsidR="00D5084D" w:rsidRDefault="00D5084D" w:rsidP="00D4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0982265"/>
      <w:docPartObj>
        <w:docPartGallery w:val="Page Numbers (Bottom of Page)"/>
        <w:docPartUnique/>
      </w:docPartObj>
    </w:sdtPr>
    <w:sdtContent>
      <w:p w14:paraId="7ACB4BD3" w14:textId="0CD44354"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9F2093" w14:textId="77777777" w:rsidR="00946C5B" w:rsidRDefault="00946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989871"/>
      <w:docPartObj>
        <w:docPartGallery w:val="Page Numbers (Bottom of Page)"/>
        <w:docPartUnique/>
      </w:docPartObj>
    </w:sdtPr>
    <w:sdtContent>
      <w:p w14:paraId="6F4B1C03" w14:textId="7C9A7139"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DFE05E" w14:textId="77777777" w:rsidR="00946C5B" w:rsidRDefault="00946C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171" w14:textId="77777777" w:rsidR="00946C5B" w:rsidRDefault="00946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8DEC6" w14:textId="77777777" w:rsidR="00D5084D" w:rsidRDefault="00D5084D" w:rsidP="00D427AF">
      <w:r>
        <w:separator/>
      </w:r>
    </w:p>
  </w:footnote>
  <w:footnote w:type="continuationSeparator" w:id="0">
    <w:p w14:paraId="11C6AB86" w14:textId="77777777" w:rsidR="00D5084D" w:rsidRDefault="00D5084D" w:rsidP="00D42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792DF" w14:textId="77777777" w:rsidR="00946C5B" w:rsidRDefault="00946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62F1" w14:textId="55214F40" w:rsidR="00D427AF" w:rsidRDefault="004C56AA" w:rsidP="00AD077D">
    <w:pPr>
      <w:pStyle w:val="Header"/>
      <w:jc w:val="center"/>
    </w:pPr>
    <w:r>
      <w:rPr>
        <w:noProof/>
      </w:rPr>
      <mc:AlternateContent>
        <mc:Choice Requires="wps">
          <w:drawing>
            <wp:anchor distT="0" distB="0" distL="114300" distR="114300" simplePos="0" relativeHeight="251659264" behindDoc="0" locked="0" layoutInCell="1" allowOverlap="1" wp14:anchorId="79EA2CC7" wp14:editId="6F4758ED">
              <wp:simplePos x="0" y="0"/>
              <wp:positionH relativeFrom="column">
                <wp:posOffset>-467995</wp:posOffset>
              </wp:positionH>
              <wp:positionV relativeFrom="paragraph">
                <wp:posOffset>-417195</wp:posOffset>
              </wp:positionV>
              <wp:extent cx="7550590" cy="860080"/>
              <wp:effectExtent l="0" t="0" r="6350" b="3810"/>
              <wp:wrapNone/>
              <wp:docPr id="2140200295" name="Rectangle 1"/>
              <wp:cNvGraphicFramePr/>
              <a:graphic xmlns:a="http://schemas.openxmlformats.org/drawingml/2006/main">
                <a:graphicData uri="http://schemas.microsoft.com/office/word/2010/wordprocessingShape">
                  <wps:wsp>
                    <wps:cNvSpPr/>
                    <wps:spPr>
                      <a:xfrm>
                        <a:off x="0" y="0"/>
                        <a:ext cx="7550590" cy="86008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41F2C1" w14:textId="2246D095" w:rsidR="00056202" w:rsidRDefault="00056202" w:rsidP="00056202">
                          <w:pPr>
                            <w:jc w:val="center"/>
                            <w:rPr>
                              <w:sz w:val="36"/>
                              <w:szCs w:val="36"/>
                            </w:rPr>
                          </w:pPr>
                          <w:bookmarkStart w:id="0" w:name="header"/>
                          <w:r w:rsidRPr="00E04BC0">
                            <w:rPr>
                              <w:sz w:val="36"/>
                              <w:szCs w:val="36"/>
                            </w:rPr>
                            <w:t>Comparison Fact Sheet: ISO 2017 &amp; 2024</w:t>
                          </w:r>
                          <w:bookmarkEnd w:id="0"/>
                        </w:p>
                        <w:p w14:paraId="6397170D" w14:textId="1E8072A6" w:rsidR="00902713" w:rsidRPr="00E04BC0" w:rsidRDefault="00902713" w:rsidP="00056202">
                          <w:pPr>
                            <w:jc w:val="center"/>
                            <w:rPr>
                              <w:sz w:val="36"/>
                              <w:szCs w:val="36"/>
                            </w:rPr>
                          </w:pPr>
                          <w:bookmarkStart w:id="1" w:name="header2"/>
                          <w:r>
                            <w:rPr>
                              <w:sz w:val="36"/>
                              <w:szCs w:val="36"/>
                            </w:rPr>
                            <w:t>Multiple risk factors</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A2CC7" id="Rectangle 1" o:spid="_x0000_s1026" style="position:absolute;left:0;text-align:left;margin-left:-36.85pt;margin-top:-32.85pt;width:594.5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" fillcolor="#2f5496 [2404]" stroked="f" strokeweight="1pt">
              <v:textbox>
                <w:txbxContent>
                  <w:p w14:paraId="4C41F2C1" w14:textId="2246D095" w:rsidR="00056202" w:rsidRDefault="00056202" w:rsidP="00056202">
                    <w:pPr>
                      <w:jc w:val="center"/>
                      <w:rPr>
                        <w:sz w:val="36"/>
                        <w:szCs w:val="36"/>
                      </w:rPr>
                    </w:pPr>
                    <w:bookmarkStart w:id="2" w:name="header"/>
                    <w:r w:rsidRPr="00E04BC0">
                      <w:rPr>
                        <w:sz w:val="36"/>
                        <w:szCs w:val="36"/>
                      </w:rPr>
                      <w:t>header</w:t>
                    </w:r>
                    <w:bookmarkEnd w:id="2"/>
                  </w:p>
                  <w:p w14:paraId="6397170D" w14:textId="1E8072A6" w:rsidR="00902713" w:rsidRPr="00E04BC0" w:rsidRDefault="00902713" w:rsidP="00056202">
                    <w:pPr>
                      <w:jc w:val="center"/>
                      <w:rPr>
                        <w:sz w:val="36"/>
                        <w:szCs w:val="36"/>
                      </w:rPr>
                    </w:pPr>
                    <w:bookmarkStart w:id="3" w:name="header2"/>
                    <w:r>
                      <w:rPr>
                        <w:sz w:val="36"/>
                        <w:szCs w:val="36"/>
                      </w:rPr>
                      <w:t>header2</w:t>
                    </w:r>
                    <w:bookmarkEnd w:id="3"/>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358BE" w14:textId="77777777" w:rsidR="00946C5B" w:rsidRDefault="00946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7A635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02AE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D3810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4354197">
    <w:abstractNumId w:val="2"/>
  </w:num>
  <w:num w:numId="2" w16cid:durableId="385421868">
    <w:abstractNumId w:val="0"/>
  </w:num>
  <w:num w:numId="3" w16cid:durableId="382798034">
    <w:abstractNumId w:val="1"/>
  </w:num>
  <w:num w:numId="4" w16cid:durableId="1191411409">
    <w:abstractNumId w:val="3"/>
  </w:num>
</w:numbering>
</file>

<file path=word/settings.xml><?xml version="1.0" encoding="utf-8"?>
<w:settings xmlns:w="http://schemas.openxmlformats.org/wordprocessingml/2006/main">
  <w:zoom w:percent="18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66"/>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ListParagraph">
    <w:name w:val="List Paragraph"/>
    <w:basedOn w:val="Normal"/>
    <w:uiPriority w:val="34"/>
    <w:qFormat/>
    <w:rsid w:val="00C47B8A"/>
    <w:pPr>
      <w:ind w:left="720"/>
      <w:contextualSpacing/>
    </w:pPr>
  </w:style>
  <w:style w:type="paragraph" w:customStyle="1" w:styleId="bullet">
    <w:name w:val="bullet"/>
    <w:basedOn w:val="ListParagraph"/>
    <w:autoRedefine/>
    <w:qFormat/>
    <w:rsid w:val="002A555B"/>
    <w:pPr>
      <w:numPr>
        <w:numId w:val="1"/>
      </w:numPr>
      <w:ind w:left="357" w:hanging="357"/>
    </w:pPr>
  </w:style>
  <w:style w:type="numbering" w:customStyle="1" w:styleId="CurrentList1">
    <w:name w:val="Current List1"/>
    <w:uiPriority w:val="99"/>
    <w:rsid w:val="009F33A2"/>
    <w:pPr>
      <w:numPr>
        <w:numId w:val="3"/>
      </w:numPr>
    </w:pPr>
  </w:style>
  <w:style w:type="paragraph" w:styleId="Header">
    <w:name w:val="header"/>
    <w:basedOn w:val="Normal"/>
    <w:link w:val="HeaderChar"/>
    <w:uiPriority w:val="99"/>
    <w:unhideWhenUsed/>
    <w:rsid w:val="00D427AF"/>
    <w:pPr>
      <w:tabs>
        <w:tab w:val="center" w:pos="4513"/>
        <w:tab w:val="right" w:pos="9026"/>
      </w:tabs>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513"/>
        <w:tab w:val="right" w:pos="9026"/>
      </w:tabs>
    </w:pPr>
  </w:style>
  <w:style w:type="character" w:customStyle="1" w:styleId="FooterChar">
    <w:name w:val="Footer Char"/>
    <w:basedOn w:val="DefaultParagraphFont"/>
    <w:link w:val="Footer"/>
    <w:uiPriority w:val="99"/>
    <w:rsid w:val="00D427AF"/>
  </w:style>
  <w:style w:type="table" w:styleId="TableGrid">
    <w:name w:val="Table Grid"/>
    <w:basedOn w:val="TableNormal"/>
    <w:uiPriority w:val="39"/>
    <w:rsid w:val="004A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66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image" Target="media/ebdb30985ca682b7b55093f8d4f5d551ffb47873.png"/>
<Relationship Id="rId16" Type="http://schemas.openxmlformats.org/officeDocument/2006/relationships/image" Target="media/7a5255fba023e980f5f7f4a624d063a5c61cf43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29</cp:revision>
  <dcterms:created xsi:type="dcterms:W3CDTF">2025-10-01T16:57:00Z</dcterms:created>
  <dcterms:modified xsi:type="dcterms:W3CDTF">2025-12-11T09:40:03Z</dcterms:modified>
</cp:coreProperties>
</file>