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Excess body weight, including overweight and obesity, is a major risk factor for Non-Communicable Diseases (NCDs) such as Cardiovascular Diseases (CVD), type 2 diabetes, certain cancers, and musculoskeletal disorders, with approximately 39% of adults worldwide being overweight and 13% being obese, resulting in 4.7 million deaths annually. Body Mass Index (BMI) is a standardized measure used to assess weight status in adults, with a BMI of 25-29.9 considered overweight and 30 or higher considered obese. Monitoring BMI distribution in the population, where 39% of the global population has a BMI of 25 or higher, helps guide policies targeting healthy diet, physical activity, and lifestyle modification, as recommended by the International Organization for Standardization (ISO) and the World Health Organization (WHO), to reduce the economic burden of NCDs, which accounts for 70% of all deaths worldwide.</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Prevalence of overweight and obesity</w:t>
      </w:r>
      <w:r>
        <w:rPr>
          <w:rFonts w:ascii="Arial" w:hAnsi="Arial" w:eastAsia="Arial" w:cs="Arial"/>
          <w:i w:val="false"/>
          <w:b w:val="true"/>
          <w:u w:val="none"/>
          <w:sz w:val="20"/>
          <w:szCs w:val="20"/>
          <w:color w:val="000000"/>
        </w:rPr>
        <w:t xml:space="preserve">: </w:t>
      </w:r>
      <w:r>
        <w:t xml:space="preserve">The prevalence of overweight and obesity has undergone notable changes between 2017 and 2024. Mean BMI decreased by 1 kg/m2, from 28 to 27, although this change was not significant. However, significant changes were observed in specific demographics, such as men, who experienced a decrease in mean BMI from 28 to 24 kg/m2. 
Regarding BMI classifications, the proportion of underweight individuals decreased significantly from 7% to 5% (p = 0.0043), with women showing a more pronounced decrease from 7% to 3% (p = 0). In contrast, the proportion of individuals with normal weight increased significantly from 28% to 44% (p = 0), with men showing a significant increase from 29% to 56% (p = 0). 
The prevalence of obesity decreased significantly from 35% to 25% (p = 0), with men experiencing a substantial decrease from 35% to 12% (p = 0). The proportion of individuals with BMI ≥25 also decreased significantly from 65% to 52% (p = 0), driven by significant decreases in men from 64% to 37% (p = 0).</w:t>
      </w:r>
    </w:p>
    <w:p>
      <w:pPr>
        <w:pStyle w:val="bullet"/>
      </w:pPr>
      <w:r>
        <w:rPr>
          <w:rFonts w:ascii="Arial" w:hAnsi="Arial" w:eastAsia="Arial" w:cs="Arial"/>
          <w:i w:val="false"/>
          <w:b w:val="true"/>
          <w:u w:val="none"/>
          <w:sz w:val="20"/>
          <w:szCs w:val="20"/>
          <w:color w:val="000000"/>
        </w:rPr>
        <w:t xml:space="preserve">Waist circumference</w:t>
      </w:r>
      <w:r>
        <w:rPr>
          <w:rFonts w:ascii="Arial" w:hAnsi="Arial" w:eastAsia="Arial" w:cs="Arial"/>
          <w:i w:val="false"/>
          <w:b w:val="true"/>
          <w:u w:val="none"/>
          <w:sz w:val="20"/>
          <w:szCs w:val="20"/>
          <w:color w:val="000000"/>
        </w:rPr>
        <w:t xml:space="preserve">: </w:t>
      </w:r>
      <w:r>
        <w:t xml:space="preserve">Waist circumference decreased by 5cm between 2017 and 2024, from 90cm to 85cm. Notable declines were observed among men, with a decrease of 8cm, and those aged 30-44, who saw a 4cm reduction. In contrast, women's waist circumference decreased by only 2cm, while the 45-59 age group experienced a 2cm increase. Significant changes were not reported, as p-values were not provided. However, the lack of p-values prevents determination of statistical significance for these changes.</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ISO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Overweight and obesity</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aac63e6b719b4781197c5bfb7a4954ba655b0b62.png"/>
<Relationship Id="rId16" Type="http://schemas.openxmlformats.org/officeDocument/2006/relationships/image" Target="media/7bef2dbd2152df5f387ea1755d2ac3b39fc03d4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2025-12-11T09:39:33Z</dcterms:modified>
</cp:coreProperties>
</file>