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t xml:space="preserve">Multiple risk factors</w:t>
      </w:r>
    </w:p>
    <w:p>
      <w:pPr>
        <w:pStyle w:val="Heading2"/>
      </w:pPr>
      <w:r>
        <w:t xml:space="preserve">Background</w:t>
      </w:r>
    </w:p>
    <w:p>
      <w:pPr>
        <w:pStyle w:val="JustifiedNormal"/>
      </w:pPr>
      <w:r>
        <w:t xml:space="preserve">The presence of multiple risk factors in an individual greatly increases the likelihood of developing serious non-communicable diseases (NCDs) such as cardiovascular disease, diabetes, and cancer, with the World Health Organization (WHO) estimating that 80% of all heart disease, stroke, and type 2 diabetes cases can be attributed to four main modifiable risk factors: tobacco use, physical inactivity, unhealthy diet, and harmful use of alcohol (as cited in Mikkelsen et al., 2017). Understanding how these risk factors cluster in the population, with approximately 70% of all deaths worldwide attributed to NCDs (Lozano et al., 2012), provides critical insight for targeted prevention, health promotion, and integrated service delivery, as evidenced by studies demonstrating that comprehensive interventions can reduce the incidence of NCDs by up to 30% (Beaglehole et al., 2011). Furthermore, research has shown that the economic burden of NCDs is substantial, with estimated global losses exceeding $1.4 trillion annually (Bloom et al., 2011), highlighting the need for effective prevention and management strategies to mitigate these risks and reduce the associated economic burden.</w:t>
      </w:r>
    </w:p>
    <w:p>
      <w:pPr>
        <w:pStyle w:val="Heading2"/>
      </w:pPr>
      <w:r>
        <w:t xml:space="preserve">Survey Measures</w:t>
      </w:r>
    </w:p>
    <w:p>
      <w:pPr>
        <w:pStyle w:val="JustifiedNormal"/>
      </w:pPr>
      <w:r>
        <w:t xml:space="preserve">This analysis includes the following risk factors, as measured in the  year STEPS survey in ISO:</w:t>
      </w:r>
    </w:p>
    <w:p>
      <w:pPr>
        <w:pStyle w:val="bullet"/>
      </w:pPr>
      <w:r>
        <w:t xml:space="preserve">Current tobacco use</w:t>
      </w:r>
    </w:p>
    <w:p>
      <w:pPr>
        <w:pStyle w:val="bullet"/>
      </w:pPr>
      <w:r>
        <w:t xml:space="preserve">Insufficient physical activity</w:t>
      </w:r>
    </w:p>
    <w:p>
      <w:pPr>
        <w:pStyle w:val="bullet"/>
      </w:pPr>
      <w:r>
        <w:t xml:space="preserve">Low fruit and vegetable intake</w:t>
      </w:r>
    </w:p>
    <w:p>
      <w:pPr>
        <w:pStyle w:val="bullet"/>
      </w:pPr>
      <w:r>
        <w:t xml:space="preserve">Overweight or obesity (BMI ≥25 kg/m²)</w:t>
      </w:r>
    </w:p>
    <w:p>
      <w:pPr>
        <w:pStyle w:val="bullet"/>
      </w:pPr>
      <w:r>
        <w:t xml:space="preserve">Raised blood pressure (SBP ≥140 or DBP ≥90 mmHg, or on medication)</w:t>
      </w:r>
    </w:p>
    <w:p>
      <w:pPr>
        <w:pStyle w:val="Heading2"/>
      </w:pPr>
      <w:r>
        <w:t xml:space="preserve">Findings</w:t>
      </w:r>
    </w:p>
    <w:p>
      <w:pPr>
        <w:pStyle w:val="Heading3"/>
      </w:pPr>
      <w:r>
        <w:t xml:space="preserve">Overall distribution of risk factors</w:t>
      </w:r>
    </w:p>
    <w:p>
      <w:pPr>
        <w:pStyle w:val="JustifiedNormal"/>
      </w:pPr>
      <w:r>
        <w:t xml:space="preserve">On average, adults had a prevalence of 18.3% with three to five risk factors. Approximately 18.3% of the population had three or more risk factors, with a 95% confidence interval (CI) of 16.7-20.0%.
Adults aged 18-29 years had the lowest prevalence of three or more risk factors, at 8.5%, with a 95% CI of 6.5-11.1%, compared to those aged 60-69 years at 48.6%, with a 95% CI of 42.9-54.4%. The percentage of individuals with three or more risk factors was higher in women (21.1%, 95% CI: 18.9-23.4%) compared to men (15.4%, 95% CI: 13.2-18.0%) (p = 0.0008). Similarly, the prevalence of having no risk factors was significantly higher among women (3.3%, 95% CI: 2.4-4.4%) compared to men (5.2%, 95% CI: 3.6-7.3%) (p = 0.0459). 
Furthermore, the prevalence of having one to two risk factors was significantly higher among men (79.4%, 95% CI: 76.4-82.1%) compared to women (75.7%, 95% CI: 73.3-77.9%) (p = 0.0435), and also higher among adults aged 18-29 years (85.6%, 95% CI: 82.6-88.3%) (p &lt; 0.0001).</w:t>
      </w:r>
    </w:p>
    <w:sectPr w:rsidR="00D8029D" w:rsidRPr="00A3071B">
      <w:footerReference w:type="even" r:id="rId7"/>
      <w:footerReference w:type="default" r:id="rId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635D8" w14:textId="77777777" w:rsidR="009F5E1F" w:rsidRDefault="009F5E1F" w:rsidP="0072430B">
      <w:r>
        <w:separator/>
      </w:r>
    </w:p>
  </w:endnote>
  <w:endnote w:type="continuationSeparator" w:id="0">
    <w:p w14:paraId="60B2338F" w14:textId="77777777" w:rsidR="009F5E1F" w:rsidRDefault="009F5E1F" w:rsidP="00724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7612938"/>
      <w:docPartObj>
        <w:docPartGallery w:val="Page Numbers (Bottom of Page)"/>
        <w:docPartUnique/>
      </w:docPartObj>
    </w:sdtPr>
    <w:sdtContent>
      <w:p w14:paraId="0DA99899" w14:textId="1721B351" w:rsidR="0072430B" w:rsidRDefault="0072430B" w:rsidP="005A23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75C23E" w14:textId="77777777" w:rsidR="0072430B" w:rsidRDefault="007243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80633346"/>
      <w:docPartObj>
        <w:docPartGallery w:val="Page Numbers (Bottom of Page)"/>
        <w:docPartUnique/>
      </w:docPartObj>
    </w:sdtPr>
    <w:sdtContent>
      <w:p w14:paraId="53F45340" w14:textId="351F36CE" w:rsidR="0072430B" w:rsidRDefault="0072430B" w:rsidP="005A23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225A70" w14:textId="77777777" w:rsidR="0072430B" w:rsidRDefault="007243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86EFA" w14:textId="77777777" w:rsidR="009F5E1F" w:rsidRDefault="009F5E1F" w:rsidP="0072430B">
      <w:r>
        <w:separator/>
      </w:r>
    </w:p>
  </w:footnote>
  <w:footnote w:type="continuationSeparator" w:id="0">
    <w:p w14:paraId="0E539B4A" w14:textId="77777777" w:rsidR="009F5E1F" w:rsidRDefault="009F5E1F" w:rsidP="007243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76597681"/>
    <w:multiLevelType w:val="multilevel"/>
    <w:tmpl w:val="009E2BBE"/>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98685198">
    <w:abstractNumId w:val="0"/>
  </w:num>
  <w:num w:numId="2" w16cid:durableId="1306426789">
    <w:abstractNumId w:val="1"/>
  </w:num>
</w:numbering>
</file>

<file path=word/settings.xml><?xml version="1.0" encoding="utf-8"?>
<w:settings xmlns:w="http://schemas.openxmlformats.org/wordprocessingml/2006/main">
  <w:zoom w:percent="170"/>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2AA"/>
    <w:pPr>
      <w:jc w:val="both"/>
    </w:pPr>
  </w:style>
  <w:style w:type="paragraph" w:styleId="Heading1">
    <w:name w:val="heading 1"/>
    <w:basedOn w:val="Normal"/>
    <w:next w:val="Normal"/>
    <w:link w:val="Heading1Char"/>
    <w:uiPriority w:val="9"/>
    <w:qFormat/>
    <w:rsid w:val="00EB5734"/>
    <w:pPr>
      <w:keepNext/>
      <w:keepLines/>
      <w:numPr>
        <w:numId w:val="2"/>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B5734"/>
    <w:pPr>
      <w:keepNext/>
      <w:keepLines/>
      <w:numPr>
        <w:ilvl w:val="1"/>
        <w:numId w:val="2"/>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B5734"/>
    <w:pPr>
      <w:keepNext/>
      <w:keepLines/>
      <w:numPr>
        <w:ilvl w:val="2"/>
        <w:numId w:val="2"/>
      </w:numPr>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customStyle="1" w:styleId="bullet">
    <w:name w:val="bullet"/>
    <w:basedOn w:val="ListParagraph"/>
    <w:autoRedefine/>
    <w:qFormat/>
    <w:rsid w:val="00B9529C"/>
    <w:pPr>
      <w:numPr>
        <w:numId w:val="1"/>
      </w:numPr>
    </w:pPr>
  </w:style>
  <w:style w:type="paragraph" w:styleId="ListParagraph">
    <w:name w:val="List Paragraph"/>
    <w:basedOn w:val="Normal"/>
    <w:uiPriority w:val="34"/>
    <w:qFormat/>
    <w:rsid w:val="00B9529C"/>
    <w:pPr>
      <w:ind w:left="720"/>
      <w:contextualSpacing/>
    </w:pPr>
  </w:style>
  <w:style w:type="character" w:customStyle="1" w:styleId="Heading1Char">
    <w:name w:val="Heading 1 Char"/>
    <w:basedOn w:val="DefaultParagraphFont"/>
    <w:link w:val="Heading1"/>
    <w:uiPriority w:val="9"/>
    <w:rsid w:val="00EB573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B573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B5734"/>
    <w:rPr>
      <w:rFonts w:asciiTheme="majorHAnsi" w:eastAsiaTheme="majorEastAsia" w:hAnsiTheme="majorHAnsi" w:cstheme="majorBidi"/>
      <w:color w:val="1F3763" w:themeColor="accent1" w:themeShade="7F"/>
    </w:rPr>
  </w:style>
  <w:style w:type="paragraph" w:styleId="Footer">
    <w:name w:val="footer"/>
    <w:basedOn w:val="Normal"/>
    <w:link w:val="FooterChar"/>
    <w:uiPriority w:val="99"/>
    <w:unhideWhenUsed/>
    <w:rsid w:val="0072430B"/>
    <w:pPr>
      <w:tabs>
        <w:tab w:val="center" w:pos="4513"/>
        <w:tab w:val="right" w:pos="9026"/>
      </w:tabs>
    </w:pPr>
  </w:style>
  <w:style w:type="character" w:customStyle="1" w:styleId="FooterChar">
    <w:name w:val="Footer Char"/>
    <w:basedOn w:val="DefaultParagraphFont"/>
    <w:link w:val="Footer"/>
    <w:uiPriority w:val="99"/>
    <w:rsid w:val="0072430B"/>
  </w:style>
  <w:style w:type="character" w:styleId="PageNumber">
    <w:name w:val="page number"/>
    <w:basedOn w:val="DefaultParagraphFont"/>
    <w:uiPriority w:val="99"/>
    <w:semiHidden/>
    <w:unhideWhenUsed/>
    <w:rsid w:val="0072430B"/>
  </w:style>
  <w:style w:type="paragraph" w:customStyle="1" w:styleId="JustifiedNormal">
    <w:name w:val="JustifiedNormal"/>
    <w:basedOn w:val="Normal"/>
    <w:qFormat/>
    <w:rsid w:val="00FB3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
<Relationship Id="rId8"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Lucas  Malla</dc:creator>
  <cp:keywords/>
  <dc:description/>
  <cp:lastModifiedBy>lucasmalla</cp:lastModifiedBy>
  <cp:revision>10</cp:revision>
  <dcterms:created xsi:type="dcterms:W3CDTF">2025-10-18T20:16:00Z</dcterms:created>
  <dcterms:modified xsi:type="dcterms:W3CDTF">2025-12-11T09:34:45Z</dcterms:modified>
</cp:coreProperties>
</file>