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≥25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(excluding pregnant women) classified as overweight (BMI≥25)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8"/>
        <w:gridCol w:w="723"/>
        <w:gridCol w:w="882"/>
        <w:gridCol w:w="906"/>
        <w:gridCol w:w="875"/>
        <w:gridCol w:w="882"/>
        <w:gridCol w:w="906"/>
        <w:gridCol w:w="723"/>
        <w:gridCol w:w="882"/>
        <w:gridCol w:w="906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BMI≥25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38.5 - 59.0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46.4 - 65.2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66.5 - 83.5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66.2 - 78.8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42.7 - 81.1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55.1 - 79.3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53.8 - 76.8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54.3 - 77.9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69.1 - 84.5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66.0 - 79.6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52.4 - 68.6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63.6 - 75.3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60.4 - 70.7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40.2 - 70.6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59.2 - 80.1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53.9 - 73.5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58.7 - 70.7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63.0 - 74.1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62.9 - 71.0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2024-10-02T19:40:08Z</dcterms:modified>
  <cp:category/>
</cp:coreProperties>
</file>