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8"/>
        <w:gridCol w:w="731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CVD risk of ≥20% or existing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aged 40-69 years with a 10-year cardiovascular disease (CVD) risk* ≥20% or with existing CVD</w:t>
            </w:r>
          </w:p>
        </w:tc>
      </w:tr>
      <w:tr>
        <w:trPr>
          <w:trHeight w:val="180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respondents with a 10-year CVD risk ≥20% or with existing CVD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3.3 - 10.3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7.3 - 24.3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6.7 - 16.5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4.4 - 12.3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5.5 - 11.0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2.8 - 10.2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6.7 - 14.6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2024-10-02T19:40:48Z</dcterms:modified>
  <cp:category/>
</cp:coreProperties>
</file>