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Marital status of survey respondents.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C7: What is your marital status?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5"/>
        <w:gridCol w:w="1094"/>
        <w:gridCol w:w="1180"/>
        <w:gridCol w:w="1198"/>
        <w:gridCol w:w="1712"/>
        <w:gridCol w:w="1180"/>
        <w:gridCol w:w="1180"/>
      </w:tblGrid>
      <w:tr>
        <w:trPr>
          <w:trHeight w:val="571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 (but still married)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3"/>
        <w:gridCol w:w="1139"/>
        <w:gridCol w:w="1242"/>
        <w:gridCol w:w="1242"/>
        <w:gridCol w:w="1579"/>
        <w:gridCol w:w="1242"/>
        <w:gridCol w:w="1242"/>
      </w:tblGrid>
      <w:tr>
        <w:trPr>
          <w:trHeight w:val="571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 (but still married)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8"/>
        <w:gridCol w:w="800"/>
        <w:gridCol w:w="1330"/>
        <w:gridCol w:w="1330"/>
        <w:gridCol w:w="1574"/>
        <w:gridCol w:w="1330"/>
        <w:gridCol w:w="1330"/>
      </w:tblGrid>
      <w:tr>
        <w:trPr>
          <w:trHeight w:val="571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1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 (but still married)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2024-10-02T19:33:18Z</dcterms:modified>
  <cp:category/>
</cp:coreProperties>
</file>