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BMI ≥25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(excluding pregnant women) classified as overweight (BMI≥25)</w:t>
            </w:r>
          </w:p>
        </w:tc>
      </w:tr>
      <w:tr>
        <w:trPr>
          <w:trHeight w:val="123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M11: Height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M12: Weight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78"/>
        <w:gridCol w:w="723"/>
        <w:gridCol w:w="882"/>
        <w:gridCol w:w="906"/>
        <w:gridCol w:w="875"/>
        <w:gridCol w:w="882"/>
        <w:gridCol w:w="906"/>
        <w:gridCol w:w="723"/>
        <w:gridCol w:w="882"/>
        <w:gridCol w:w="906"/>
      </w:tblGrid>
      <w:tr>
        <w:trPr>
          <w:trHeight w:val="572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BMI≥25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BMI≥25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BMI≥25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BMI≥25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14.0 - 24.2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27.2 - 38.8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23.2 - 31.2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31.1 - 44.1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44.0 - 55.0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40.5 - 49.3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18.8 - 40.2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35.9 - 55.0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31.7 - 46.3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70.4 - 83.6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74.7 - 83.7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74.6 - 82.3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17.6 - 54.5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38.4 - 61.3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32.9 - 53.7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28.4 - 35.5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40.9 - 47.7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36.8 - 41.8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19.5 - 28.8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39.1 - 48.7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32.9 - 40.1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36.6 - 47.1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40.9 - 49.1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40.3 - 46.8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2024-11-28T17:11:09Z</dcterms:modified>
  <cp:category/>
</cp:coreProperties>
</file>