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1"/>
        <w:gridCol w:w="7235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0, 1-2, or 3-5 of the following risk factors</w:t>
            </w:r>
          </w:p>
        </w:tc>
      </w:tr>
      <w:tr>
        <w:trPr>
          <w:trHeight w:val="166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daily smoking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five servings of fruit and/or vegetables per day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(&lt;150 minutes of moderate activity per week, or equivalent)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 or obese (BMI ≥ 25 kg/m2)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Raised BP (SBP ≥ 140 and/or DBP ≥ 90 mmHg or currently on medication for raised BP).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71.3 - 79.5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13.6 - 20.6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51.3 - 65.3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32.7 - 46.3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67.1 - 74.4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20.0 - 26.3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11.5 - 19.9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58.1 - 67.9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27.9 - 37.6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71.2 - 77.7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16.4 - 22.5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45.5 - 57.9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37.7 - 49.3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65.6 - 71.5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22.9 - 28.4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66.7 - 74.9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18.9 - 26.4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60.8 - 68.3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27.5 - 34.6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72.3 - 77.5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16.1 - 20.7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49.7 - 59.2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37.3 - 46.2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67.2 - 71.8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22.6 - 26.7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69.9 - 76.4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17.1 - 22.8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60.9 - 66.9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28.8 - 34.6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2024-11-28T17:11:58Z</dcterms:modified>
  <cp:category/>
</cp:coreProperties>
</file>