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paid employment and those who are unpaid.  Unpaid includes persons who are non-paid, students, homemakers, retired, and unemployed.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4"/>
        <w:gridCol w:w="1276"/>
        <w:gridCol w:w="1617"/>
        <w:gridCol w:w="1857"/>
        <w:gridCol w:w="1303"/>
        <w:gridCol w:w="1303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4"/>
        <w:gridCol w:w="964"/>
        <w:gridCol w:w="985"/>
        <w:gridCol w:w="985"/>
        <w:gridCol w:w="985"/>
        <w:gridCol w:w="1393"/>
        <w:gridCol w:w="1496"/>
        <w:gridCol w:w="1037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0"/>
        <w:gridCol w:w="1301"/>
        <w:gridCol w:w="1542"/>
        <w:gridCol w:w="1770"/>
        <w:gridCol w:w="1418"/>
        <w:gridCol w:w="1418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0"/>
        <w:gridCol w:w="967"/>
        <w:gridCol w:w="1054"/>
        <w:gridCol w:w="1054"/>
        <w:gridCol w:w="1054"/>
        <w:gridCol w:w="1306"/>
        <w:gridCol w:w="1403"/>
        <w:gridCol w:w="1103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5"/>
        <w:gridCol w:w="1200"/>
        <w:gridCol w:w="1522"/>
        <w:gridCol w:w="1747"/>
        <w:gridCol w:w="1503"/>
        <w:gridCol w:w="1503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3"/>
        <w:gridCol w:w="881"/>
        <w:gridCol w:w="1103"/>
        <w:gridCol w:w="1103"/>
        <w:gridCol w:w="1103"/>
        <w:gridCol w:w="1272"/>
        <w:gridCol w:w="1367"/>
        <w:gridCol w:w="1150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2024-12-06T16:11:31Z</dcterms:modified>
  <cp:category/>
</cp:coreProperties>
</file>