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paid employment and those who are unpaid.  Unpaid includes persons who are non-paid, students, homemakers, retired, and unemployed.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4"/>
        <w:gridCol w:w="1276"/>
        <w:gridCol w:w="1617"/>
        <w:gridCol w:w="1857"/>
        <w:gridCol w:w="1303"/>
        <w:gridCol w:w="1303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4"/>
        <w:gridCol w:w="964"/>
        <w:gridCol w:w="985"/>
        <w:gridCol w:w="985"/>
        <w:gridCol w:w="985"/>
        <w:gridCol w:w="1393"/>
        <w:gridCol w:w="1496"/>
        <w:gridCol w:w="1037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0"/>
        <w:gridCol w:w="1301"/>
        <w:gridCol w:w="1542"/>
        <w:gridCol w:w="1770"/>
        <w:gridCol w:w="1418"/>
        <w:gridCol w:w="1418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0"/>
        <w:gridCol w:w="967"/>
        <w:gridCol w:w="1054"/>
        <w:gridCol w:w="1054"/>
        <w:gridCol w:w="1054"/>
        <w:gridCol w:w="1306"/>
        <w:gridCol w:w="1403"/>
        <w:gridCol w:w="1103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5"/>
        <w:gridCol w:w="1200"/>
        <w:gridCol w:w="1522"/>
        <w:gridCol w:w="1747"/>
        <w:gridCol w:w="1503"/>
        <w:gridCol w:w="1503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3"/>
        <w:gridCol w:w="881"/>
        <w:gridCol w:w="1103"/>
        <w:gridCol w:w="1103"/>
        <w:gridCol w:w="1103"/>
        <w:gridCol w:w="1272"/>
        <w:gridCol w:w="1367"/>
        <w:gridCol w:w="1150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2024-11-28T17:03:30Z</dcterms:modified>
  <cp:category/>
</cp:coreProperties>
</file>