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98"/>
        <w:gridCol w:w="7818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tobacco users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daily and current (daily plus non-daily) tobacco users, includes smoking and smokeless, among all population</w:t>
            </w:r>
          </w:p>
        </w:tc>
      </w:tr>
      <w:tr>
        <w:trPr>
          <w:trHeight w:val="144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0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val="57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tobacco users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20.9 - 34.3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11.0 - 17.1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36.6 - 49.9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19.8 - 26.4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11.9 - 26.9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7.8 - 14.3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51.0 - 65.5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45.1 - 57.2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49.7 - 59.2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17.0 - 51.6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13.9 - 31.1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30.3 - 38.0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9.7 - 12.7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18.2 - 21.8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11.6 - 16.1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33.8 - 44.3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19.4 - 25.1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26.4 - 32.1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2024-11-28T17:05:06Z</dcterms:modified>
  <cp:category/>
</cp:coreProperties>
</file>