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1"/>
        <w:gridCol w:w="7055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sugar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Blood sugar measurement and diagnosis among all population</w:t>
            </w:r>
          </w:p>
        </w:tc>
      </w:tr>
      <w:tr>
        <w:trPr>
          <w:trHeight w:val="12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H7b: 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77.7 - 86.3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67.3 - 89.6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9.2 - 31.4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27.3 - 42.1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35.8 - 50.5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7.5 - 16.8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82.7 - 95.1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79.5 - 85.0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11.8 - 17.1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1.1 - 2.4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1.2 - 2.5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85.1 - 91.9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69.4 - 78.5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1.9 - 4.5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89.9 - 94.8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81.9 - 88.1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86.3 - 94.7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0.2 - 1.1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30.5 - 42.0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8.4 - 17.6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71.9 - 91.7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2.9 - 24.5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83.7 - 87.2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9.3 - 12.4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1.0 - 2.2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88.4 - 92.5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74.3 - 80.1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14.0 - 19.0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90.6 - 94.8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81.4 - 86.6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81.6 - 91.6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30.7 - 40.1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36.5 - 46.4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9.0 - 15.5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79.3 - 92.0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1.7 - 15.0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82.8 - 85.8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10.8 - 13.6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1.2 - 2.1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88.1 - 91.7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73.5 - 78.4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2024-11-28T17:09:28Z</dcterms:modified>
  <cp:category/>
</cp:coreProperties>
</file>