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42078" w14:textId="77777777" w:rsidR="00957A98" w:rsidRPr="00E41832" w:rsidRDefault="00957A98" w:rsidP="00957A9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4FB50449" wp14:editId="6E724B05">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203E7CDA" w14:textId="77777777" w:rsidR="00957A98" w:rsidRPr="00E41832" w:rsidRDefault="00957A98" w:rsidP="00957A98">
      <w:pPr>
        <w:pStyle w:val="Header"/>
        <w:jc w:val="right"/>
        <w:rPr>
          <w:rFonts w:asciiTheme="minorHAnsi" w:hAnsiTheme="minorHAnsi" w:cstheme="minorHAnsi"/>
          <w:b/>
          <w:bCs/>
          <w:caps/>
          <w:color w:val="008000"/>
          <w:sz w:val="40"/>
          <w:szCs w:val="40"/>
        </w:rPr>
      </w:pPr>
    </w:p>
    <w:p w14:paraId="18488832" w14:textId="77777777" w:rsidR="00957A98" w:rsidRPr="00E41832" w:rsidRDefault="00957A98" w:rsidP="00957A98">
      <w:pPr>
        <w:pStyle w:val="Header"/>
        <w:rPr>
          <w:rFonts w:asciiTheme="minorHAnsi" w:hAnsiTheme="minorHAnsi" w:cstheme="minorHAnsi"/>
          <w:b/>
          <w:bCs/>
          <w:caps/>
          <w:color w:val="008000"/>
          <w:sz w:val="40"/>
          <w:szCs w:val="40"/>
        </w:rPr>
      </w:pPr>
    </w:p>
    <w:p w14:paraId="319DA734"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082442D9"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722520D9"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156A1082" w14:textId="77777777" w:rsidR="00957A98" w:rsidRPr="00E41832" w:rsidRDefault="00957A98" w:rsidP="00957A98">
      <w:pPr>
        <w:pStyle w:val="Title"/>
      </w:pPr>
      <w:r w:rsidRPr="00E41832">
        <w:t>WHO STEPS</w:t>
      </w:r>
    </w:p>
    <w:p w14:paraId="2107FF74" w14:textId="77777777" w:rsidR="00957A98" w:rsidRPr="00E41832" w:rsidRDefault="00957A98" w:rsidP="00957A98">
      <w:pPr>
        <w:pStyle w:val="Title"/>
      </w:pPr>
    </w:p>
    <w:p w14:paraId="4ADFCFC5" w14:textId="77777777" w:rsidR="00957A98" w:rsidRPr="00E41832" w:rsidRDefault="00957A98" w:rsidP="00957A98">
      <w:pPr>
        <w:pStyle w:val="Title"/>
      </w:pPr>
      <w:r w:rsidRPr="00E41832">
        <w:t>Noncommunicable Disease</w:t>
      </w:r>
    </w:p>
    <w:p w14:paraId="07328F1D" w14:textId="77777777" w:rsidR="00957A98" w:rsidRPr="00E41832" w:rsidRDefault="00957A98" w:rsidP="00957A98">
      <w:pPr>
        <w:pStyle w:val="Title"/>
      </w:pPr>
      <w:r w:rsidRPr="00E41832">
        <w:t>Risk Factor Survey</w:t>
      </w:r>
    </w:p>
    <w:p w14:paraId="39A8F725" w14:textId="77777777" w:rsidR="00957A98" w:rsidRPr="00E41832" w:rsidRDefault="00957A98" w:rsidP="00957A98">
      <w:pPr>
        <w:pStyle w:val="Title"/>
        <w:rPr>
          <w:sz w:val="32"/>
          <w:szCs w:val="32"/>
        </w:rPr>
      </w:pPr>
    </w:p>
    <w:p w14:paraId="221E1558" w14:textId="77777777" w:rsidR="00957A98" w:rsidRPr="00E41832" w:rsidRDefault="00957A98" w:rsidP="00957A98">
      <w:pPr>
        <w:pStyle w:val="Title"/>
        <w:rPr>
          <w:sz w:val="32"/>
          <w:szCs w:val="32"/>
        </w:rPr>
      </w:pPr>
    </w:p>
    <w:p w14:paraId="77258EB5" w14:textId="77777777" w:rsidR="00957A98" w:rsidRPr="00E41832" w:rsidRDefault="00957A98" w:rsidP="00957A98">
      <w:pPr>
        <w:pStyle w:val="Title"/>
        <w:rPr>
          <w:sz w:val="32"/>
          <w:szCs w:val="32"/>
        </w:rPr>
      </w:pPr>
    </w:p>
    <w:p w14:paraId="76E0A95E" w14:textId="77777777" w:rsidR="00957A98" w:rsidRPr="00E41832" w:rsidRDefault="00957A98" w:rsidP="00957A98">
      <w:pPr>
        <w:pStyle w:val="Title"/>
        <w:rPr>
          <w:sz w:val="32"/>
          <w:szCs w:val="32"/>
        </w:rPr>
      </w:pPr>
    </w:p>
    <w:p w14:paraId="23CE5F7B" w14:textId="68D15034" w:rsidR="00957A98" w:rsidRPr="00E41832" w:rsidRDefault="00957A98" w:rsidP="00957A98">
      <w:pPr>
        <w:pStyle w:val="Title"/>
        <w:rPr>
          <w:sz w:val="32"/>
          <w:szCs w:val="32"/>
        </w:rPr>
      </w:pPr>
      <w:r w:rsidRPr="00E41832">
        <w:rPr>
          <w:sz w:val="32"/>
          <w:szCs w:val="32"/>
        </w:rPr>
        <w:t xml:space="preserve">Data Book for </w:t>
      </w:r>
      <w:r w:rsidR="00A5311E">
        <w:rPr>
          <w:sz w:val="32"/>
          <w:szCs w:val="32"/>
        </w:rPr>
        <w:t>country_name</w:t>
      </w:r>
    </w:p>
    <w:p w14:paraId="74787675" w14:textId="74A119D3" w:rsidR="00373434" w:rsidRDefault="00B56A97" w:rsidP="00B56A97">
      <w:pPr>
        <w:spacing w:after="160" w:line="259" w:lineRule="auto"/>
        <w:jc w:val="center"/>
        <w:rPr>
          <w:rFonts w:eastAsiaTheme="majorEastAsia" w:cstheme="majorBidi"/>
          <w:b/>
          <w:color w:val="00B050"/>
          <w:sz w:val="40"/>
          <w:szCs w:val="40"/>
        </w:rPr>
      </w:pPr>
      <w:bookmarkStart w:id="0" w:name="_Toc184756071"/>
      <w:bookmarkStart w:id="1" w:name="_Toc184756197"/>
      <w:r w:rsidRPr="00B56A97">
        <w:rPr>
          <w:rFonts w:eastAsiaTheme="majorEastAsia" w:cstheme="majorBidi"/>
          <w:b/>
          <w:color w:val="00B050"/>
          <w:spacing w:val="-10"/>
          <w:kern w:val="28"/>
          <w:sz w:val="32"/>
          <w:szCs w:val="32"/>
        </w:rPr>
        <w:t>survey_year</w:t>
      </w:r>
      <w:r w:rsidR="00373434">
        <w:br w:type="page"/>
      </w:r>
    </w:p>
    <w:p w14:paraId="6023D2D1" w14:textId="15D055CE" w:rsidR="00957A98" w:rsidRDefault="00957A98" w:rsidP="00957A98">
      <w:pPr>
        <w:pStyle w:val="Heading1"/>
        <w:numPr>
          <w:ilvl w:val="0"/>
          <w:numId w:val="0"/>
        </w:numPr>
      </w:pPr>
      <w:r>
        <w:lastRenderedPageBreak/>
        <w:t>Table of Contents</w:t>
      </w:r>
      <w:bookmarkEnd w:id="0"/>
      <w:bookmarkEnd w:id="1"/>
    </w:p>
    <w:p w14:paraId="0E2C4C86" w14:textId="6CE272E4" w:rsidR="00373434" w:rsidRDefault="00957A98">
      <w:pPr>
        <w:pStyle w:val="TOC1"/>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84756197" w:history="1">
        <w:r w:rsidR="00373434" w:rsidRPr="00C7620D">
          <w:rPr>
            <w:rStyle w:val="Hyperlink"/>
            <w:noProof/>
          </w:rPr>
          <w:t>Table of Contents</w:t>
        </w:r>
        <w:r w:rsidR="00373434">
          <w:rPr>
            <w:noProof/>
            <w:webHidden/>
          </w:rPr>
          <w:tab/>
        </w:r>
        <w:r w:rsidR="00373434">
          <w:rPr>
            <w:noProof/>
            <w:webHidden/>
          </w:rPr>
          <w:fldChar w:fldCharType="begin"/>
        </w:r>
        <w:r w:rsidR="00373434">
          <w:rPr>
            <w:noProof/>
            <w:webHidden/>
          </w:rPr>
          <w:instrText xml:space="preserve"> PAGEREF _Toc184756197 \h </w:instrText>
        </w:r>
        <w:r w:rsidR="00373434">
          <w:rPr>
            <w:noProof/>
            <w:webHidden/>
          </w:rPr>
        </w:r>
        <w:r w:rsidR="00373434">
          <w:rPr>
            <w:noProof/>
            <w:webHidden/>
          </w:rPr>
          <w:fldChar w:fldCharType="separate"/>
        </w:r>
        <w:r w:rsidR="00373434">
          <w:rPr>
            <w:noProof/>
            <w:webHidden/>
          </w:rPr>
          <w:t>2</w:t>
        </w:r>
        <w:r w:rsidR="00373434">
          <w:rPr>
            <w:noProof/>
            <w:webHidden/>
          </w:rPr>
          <w:fldChar w:fldCharType="end"/>
        </w:r>
      </w:hyperlink>
    </w:p>
    <w:p w14:paraId="5480576B" w14:textId="23D42B21" w:rsidR="00373434" w:rsidRDefault="00373434">
      <w:pPr>
        <w:pStyle w:val="TOC1"/>
        <w:rPr>
          <w:rFonts w:asciiTheme="minorHAnsi" w:eastAsiaTheme="minorEastAsia" w:hAnsiTheme="minorHAnsi" w:cstheme="minorBidi"/>
          <w:noProof/>
          <w:color w:val="auto"/>
          <w:kern w:val="2"/>
          <w:szCs w:val="24"/>
          <w14:ligatures w14:val="standardContextual"/>
        </w:rPr>
      </w:pPr>
      <w:hyperlink w:anchor="_Toc184756198" w:history="1">
        <w:r w:rsidRPr="00C7620D">
          <w:rPr>
            <w:rStyle w:val="Hyperlink"/>
            <w:rFonts w:cstheme="minorHAnsi"/>
            <w:noProof/>
          </w:rPr>
          <w:t>1</w:t>
        </w:r>
        <w:r>
          <w:rPr>
            <w:rFonts w:asciiTheme="minorHAnsi" w:eastAsiaTheme="minorEastAsia" w:hAnsiTheme="minorHAnsi" w:cstheme="minorBidi"/>
            <w:noProof/>
            <w:color w:val="auto"/>
            <w:kern w:val="2"/>
            <w:szCs w:val="24"/>
            <w14:ligatures w14:val="standardContextual"/>
          </w:rPr>
          <w:tab/>
        </w:r>
        <w:r w:rsidRPr="00C7620D">
          <w:rPr>
            <w:rStyle w:val="Hyperlink"/>
            <w:rFonts w:cstheme="minorHAnsi"/>
            <w:noProof/>
          </w:rPr>
          <w:t>Introduction</w:t>
        </w:r>
        <w:r>
          <w:rPr>
            <w:noProof/>
            <w:webHidden/>
          </w:rPr>
          <w:tab/>
        </w:r>
        <w:r>
          <w:rPr>
            <w:noProof/>
            <w:webHidden/>
          </w:rPr>
          <w:fldChar w:fldCharType="begin"/>
        </w:r>
        <w:r>
          <w:rPr>
            <w:noProof/>
            <w:webHidden/>
          </w:rPr>
          <w:instrText xml:space="preserve"> PAGEREF _Toc184756198 \h </w:instrText>
        </w:r>
        <w:r>
          <w:rPr>
            <w:noProof/>
            <w:webHidden/>
          </w:rPr>
        </w:r>
        <w:r>
          <w:rPr>
            <w:noProof/>
            <w:webHidden/>
          </w:rPr>
          <w:fldChar w:fldCharType="separate"/>
        </w:r>
        <w:r>
          <w:rPr>
            <w:noProof/>
            <w:webHidden/>
          </w:rPr>
          <w:t>3</w:t>
        </w:r>
        <w:r>
          <w:rPr>
            <w:noProof/>
            <w:webHidden/>
          </w:rPr>
          <w:fldChar w:fldCharType="end"/>
        </w:r>
      </w:hyperlink>
    </w:p>
    <w:p w14:paraId="2950BD5F" w14:textId="5AA67A30" w:rsidR="00957A98" w:rsidRPr="00E41832" w:rsidRDefault="00957A98" w:rsidP="00957A98">
      <w:pPr>
        <w:pStyle w:val="MemoLine"/>
        <w:rPr>
          <w:rFonts w:asciiTheme="minorHAnsi" w:hAnsiTheme="minorHAnsi" w:cstheme="minorHAnsi"/>
        </w:rPr>
      </w:pPr>
      <w:r>
        <w:rPr>
          <w:rFonts w:asciiTheme="minorHAnsi" w:hAnsiTheme="minorHAnsi" w:cstheme="minorHAnsi"/>
          <w:szCs w:val="24"/>
        </w:rPr>
        <w:fldChar w:fldCharType="end"/>
      </w:r>
    </w:p>
    <w:p w14:paraId="197DA760" w14:textId="77777777" w:rsidR="00957A98" w:rsidRPr="00E41832" w:rsidRDefault="00957A98" w:rsidP="00957A98">
      <w:pPr>
        <w:rPr>
          <w:rFonts w:asciiTheme="minorHAnsi" w:hAnsiTheme="minorHAnsi" w:cstheme="minorHAnsi"/>
        </w:rPr>
      </w:pPr>
      <w:r w:rsidRPr="00E41832">
        <w:rPr>
          <w:rFonts w:asciiTheme="minorHAnsi" w:hAnsiTheme="minorHAnsi" w:cstheme="minorHAnsi"/>
          <w:b/>
          <w:bCs/>
        </w:rPr>
        <w:t>IMPORTANT:</w:t>
      </w:r>
      <w:r w:rsidRPr="00E41832">
        <w:rPr>
          <w:rFonts w:asciiTheme="minorHAnsi" w:hAnsiTheme="minorHAnsi" w:cstheme="minorHAnsi"/>
        </w:rPr>
        <w:t xml:space="preserve"> </w:t>
      </w:r>
    </w:p>
    <w:p w14:paraId="048ADAC1" w14:textId="77777777" w:rsidR="00957A98" w:rsidRPr="00E41832" w:rsidRDefault="00957A98" w:rsidP="00957A98">
      <w:pPr>
        <w:pStyle w:val="BulletText1"/>
        <w:rPr>
          <w:rFonts w:asciiTheme="minorHAnsi" w:hAnsiTheme="minorHAnsi" w:cstheme="minorHAnsi"/>
          <w:lang w:val="en-GB"/>
        </w:rPr>
      </w:pPr>
      <w:r w:rsidRPr="00E41832">
        <w:rPr>
          <w:rFonts w:asciiTheme="minorHAnsi" w:hAnsiTheme="minorHAnsi" w:cstheme="minorHAnsi"/>
          <w:lang w:val="en-GB"/>
        </w:rPr>
        <w:t xml:space="preserve">ALL analyses use the variables </w:t>
      </w:r>
      <w:r w:rsidRPr="00E41832">
        <w:rPr>
          <w:rFonts w:asciiTheme="minorHAnsi" w:hAnsiTheme="minorHAnsi" w:cstheme="minorHAnsi"/>
          <w:b/>
          <w:bCs/>
          <w:lang w:val="en-GB"/>
        </w:rPr>
        <w:t>AgeRange</w:t>
      </w:r>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You may use the AgeRange1869 and MissingAgeSex programs to generate these variables from </w:t>
      </w:r>
      <w:r w:rsidRPr="00E41832">
        <w:rPr>
          <w:rFonts w:asciiTheme="minorHAnsi" w:hAnsiTheme="minorHAnsi" w:cstheme="minorHAnsi"/>
          <w:b/>
          <w:bCs/>
          <w:lang w:val="en-GB"/>
        </w:rPr>
        <w:t>C1</w:t>
      </w:r>
      <w:r w:rsidRPr="00E41832">
        <w:rPr>
          <w:rFonts w:asciiTheme="minorHAnsi" w:hAnsiTheme="minorHAnsi" w:cstheme="minorHAnsi"/>
          <w:lang w:val="en-GB"/>
        </w:rPr>
        <w:t xml:space="preserve">, </w:t>
      </w:r>
      <w:r w:rsidRPr="00E41832">
        <w:rPr>
          <w:rFonts w:asciiTheme="minorHAnsi" w:hAnsiTheme="minorHAnsi" w:cstheme="minorHAnsi"/>
          <w:b/>
          <w:bCs/>
          <w:lang w:val="en-GB"/>
        </w:rPr>
        <w:t>C2</w:t>
      </w:r>
      <w:r w:rsidRPr="00E41832">
        <w:rPr>
          <w:rFonts w:asciiTheme="minorHAnsi" w:hAnsiTheme="minorHAnsi" w:cstheme="minorHAnsi"/>
          <w:lang w:val="en-GB"/>
        </w:rPr>
        <w:t xml:space="preserve">, and </w:t>
      </w:r>
      <w:r w:rsidRPr="00E41832">
        <w:rPr>
          <w:rFonts w:asciiTheme="minorHAnsi" w:hAnsiTheme="minorHAnsi" w:cstheme="minorHAnsi"/>
          <w:b/>
          <w:bCs/>
          <w:lang w:val="en-GB"/>
        </w:rPr>
        <w:t>C3</w:t>
      </w:r>
      <w:r w:rsidRPr="00E41832">
        <w:rPr>
          <w:rFonts w:asciiTheme="minorHAnsi" w:hAnsiTheme="minorHAnsi" w:cstheme="minorHAnsi"/>
          <w:lang w:val="en-GB"/>
        </w:rPr>
        <w:t>.</w:t>
      </w:r>
    </w:p>
    <w:p w14:paraId="5DF6DF86" w14:textId="77777777" w:rsidR="00957A98" w:rsidRPr="00E41832" w:rsidRDefault="00957A98" w:rsidP="00957A98">
      <w:pPr>
        <w:pStyle w:val="BulletText1"/>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62EA0779" w14:textId="77777777" w:rsidR="00957A98" w:rsidRPr="00E41832" w:rsidRDefault="00957A98" w:rsidP="00957A98">
      <w:pPr>
        <w:pStyle w:val="BulletText1"/>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472D8718" w14:textId="77777777" w:rsidR="00957A98" w:rsidRPr="00E41832" w:rsidRDefault="00957A98" w:rsidP="00957A98">
      <w:pPr>
        <w:rPr>
          <w:rFonts w:asciiTheme="minorHAnsi" w:hAnsiTheme="minorHAnsi" w:cstheme="minorHAnsi"/>
          <w:b/>
          <w:color w:val="008000"/>
          <w:sz w:val="32"/>
          <w:szCs w:val="20"/>
        </w:rPr>
      </w:pPr>
      <w:bookmarkStart w:id="2" w:name="_Toc142561032"/>
      <w:bookmarkStart w:id="3" w:name="_Ref110159987"/>
      <w:bookmarkStart w:id="4" w:name="_Ref110160387"/>
      <w:r w:rsidRPr="00E41832">
        <w:rPr>
          <w:rFonts w:asciiTheme="minorHAnsi" w:hAnsiTheme="minorHAnsi" w:cstheme="minorHAnsi"/>
        </w:rPr>
        <w:br w:type="page"/>
      </w:r>
    </w:p>
    <w:p w14:paraId="38A49144" w14:textId="77777777" w:rsidR="00957A98" w:rsidRPr="00E41832" w:rsidRDefault="00957A98" w:rsidP="00957A98">
      <w:pPr>
        <w:pStyle w:val="Heading1"/>
        <w:rPr>
          <w:rFonts w:asciiTheme="minorHAnsi" w:hAnsiTheme="minorHAnsi" w:cstheme="minorHAnsi"/>
        </w:rPr>
      </w:pPr>
      <w:bookmarkStart w:id="5" w:name="_Toc175836993"/>
      <w:bookmarkStart w:id="6" w:name="_Toc184756198"/>
      <w:r w:rsidRPr="00E41832">
        <w:rPr>
          <w:rFonts w:asciiTheme="minorHAnsi" w:hAnsiTheme="minorHAnsi" w:cstheme="minorHAnsi"/>
        </w:rPr>
        <w:lastRenderedPageBreak/>
        <w:t>Introduction</w:t>
      </w:r>
      <w:bookmarkEnd w:id="2"/>
      <w:bookmarkEnd w:id="5"/>
      <w:bookmarkEnd w:id="6"/>
    </w:p>
    <w:p w14:paraId="1C65A69C" w14:textId="77777777" w:rsidR="00957A98" w:rsidRPr="00E41832" w:rsidRDefault="00957A98" w:rsidP="00957A9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957A98" w:rsidRPr="00E41832" w14:paraId="3E6F5D29" w14:textId="77777777" w:rsidTr="005D79FF">
        <w:tc>
          <w:tcPr>
            <w:tcW w:w="1728" w:type="dxa"/>
            <w:shd w:val="clear" w:color="auto" w:fill="auto"/>
          </w:tcPr>
          <w:p w14:paraId="02B57E66"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07BECCB9"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This data book is a tool used to compile a complete set of data results relating to each question and measurement in the STEPS Instrument.  The STEPS data book</w:t>
            </w:r>
          </w:p>
          <w:p w14:paraId="3DC09B7E"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211A09C8"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7EF6001D"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5155B4DA" w14:textId="77777777" w:rsidR="00957A98" w:rsidRPr="00E41832" w:rsidRDefault="00957A98" w:rsidP="00957A9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957A98" w:rsidRPr="00E41832" w14:paraId="15341AF3" w14:textId="77777777" w:rsidTr="005D79FF">
        <w:tc>
          <w:tcPr>
            <w:tcW w:w="1728" w:type="dxa"/>
            <w:shd w:val="clear" w:color="auto" w:fill="auto"/>
          </w:tcPr>
          <w:p w14:paraId="6007E98F" w14:textId="77777777" w:rsidR="00957A98" w:rsidRPr="00E41832" w:rsidRDefault="00957A98" w:rsidP="005D79FF">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2A97EF0A"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Each page in the data book contains a different table with:</w:t>
            </w:r>
          </w:p>
          <w:p w14:paraId="21BA0F2D"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79E50231"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619211A0"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3BBB22D5"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0AFAA064" w14:textId="77777777" w:rsidR="00957A98" w:rsidRPr="00E41832" w:rsidRDefault="00957A98" w:rsidP="00957A9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957A98" w:rsidRPr="00E41832" w14:paraId="07C0CBEA" w14:textId="77777777" w:rsidTr="005D79FF">
        <w:tc>
          <w:tcPr>
            <w:tcW w:w="1728" w:type="dxa"/>
            <w:shd w:val="clear" w:color="auto" w:fill="auto"/>
          </w:tcPr>
          <w:p w14:paraId="4BE7D413"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17BFBC24"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STEPS captures 11 of the 25 indicators outlined in the Global Action Plan 2013-2020 and the 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31A15F63" w14:textId="77777777" w:rsidR="00957A98" w:rsidRPr="00E41832" w:rsidRDefault="00957A98" w:rsidP="005D79FF">
            <w:pPr>
              <w:tabs>
                <w:tab w:val="num" w:pos="173"/>
              </w:tabs>
              <w:rPr>
                <w:rFonts w:asciiTheme="minorHAnsi" w:hAnsiTheme="minorHAnsi" w:cstheme="minorHAnsi"/>
                <w:szCs w:val="20"/>
              </w:rPr>
            </w:pPr>
          </w:p>
          <w:p w14:paraId="16D5162F"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0A5B8463" w14:textId="77777777" w:rsidR="00957A98" w:rsidRPr="00E41832" w:rsidRDefault="00957A98" w:rsidP="00957A9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957A98" w:rsidRPr="00E41832" w14:paraId="55FD4B92" w14:textId="77777777" w:rsidTr="005D79FF">
        <w:tc>
          <w:tcPr>
            <w:tcW w:w="1728" w:type="dxa"/>
            <w:shd w:val="clear" w:color="auto" w:fill="auto"/>
          </w:tcPr>
          <w:p w14:paraId="73F27C2A"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Tables in the data book relating to the Global Monitoring Framework</w:t>
            </w:r>
          </w:p>
        </w:tc>
        <w:tc>
          <w:tcPr>
            <w:tcW w:w="7735" w:type="dxa"/>
          </w:tcPr>
          <w:p w14:paraId="38924BEC"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5F776F87" w14:textId="77777777" w:rsidR="00957A98" w:rsidRPr="00E41832" w:rsidRDefault="00957A98" w:rsidP="005D79FF">
            <w:pPr>
              <w:tabs>
                <w:tab w:val="num" w:pos="173"/>
              </w:tabs>
              <w:rPr>
                <w:rFonts w:asciiTheme="minorHAnsi" w:hAnsiTheme="minorHAnsi" w:cstheme="minorHAnsi"/>
                <w:szCs w:val="20"/>
              </w:rPr>
            </w:pPr>
          </w:p>
          <w:p w14:paraId="03FE833C"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31B4EB3D" wp14:editId="04B156B6">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7148F169" w14:textId="77777777" w:rsidR="00957A98" w:rsidRPr="00E41832" w:rsidRDefault="00957A98" w:rsidP="00957A98">
      <w:pPr>
        <w:pStyle w:val="BlockLine"/>
        <w:rPr>
          <w:rFonts w:asciiTheme="minorHAnsi" w:hAnsiTheme="minorHAnsi" w:cstheme="minorHAnsi"/>
        </w:rPr>
      </w:pPr>
    </w:p>
    <w:p w14:paraId="16622D07" w14:textId="77777777" w:rsidR="00957A98" w:rsidRPr="00E41832" w:rsidRDefault="00957A98" w:rsidP="00957A98">
      <w:pPr>
        <w:rPr>
          <w:rFonts w:asciiTheme="minorHAnsi" w:hAnsiTheme="minorHAnsi" w:cstheme="minorHAnsi"/>
        </w:rPr>
      </w:pPr>
    </w:p>
    <w:p w14:paraId="4F661DF7" w14:textId="77777777" w:rsidR="00957A98" w:rsidRPr="00E41832" w:rsidRDefault="00957A98" w:rsidP="00957A98">
      <w:pPr>
        <w:rPr>
          <w:rFonts w:asciiTheme="minorHAnsi" w:hAnsiTheme="minorHAnsi" w:cstheme="minorHAnsi"/>
        </w:rPr>
      </w:pPr>
    </w:p>
    <w:p w14:paraId="1B985DF5" w14:textId="77777777" w:rsidR="00957A98" w:rsidRPr="00E41832" w:rsidRDefault="00957A98" w:rsidP="00957A98">
      <w:pPr>
        <w:rPr>
          <w:rFonts w:asciiTheme="minorHAnsi" w:hAnsiTheme="minorHAnsi" w:cstheme="minorHAnsi"/>
        </w:rPr>
      </w:pPr>
    </w:p>
    <w:p w14:paraId="3F592F95" w14:textId="77777777" w:rsidR="00957A98" w:rsidRPr="00E41832" w:rsidRDefault="00957A98" w:rsidP="00957A98">
      <w:pPr>
        <w:rPr>
          <w:rFonts w:asciiTheme="minorHAnsi" w:hAnsiTheme="minorHAnsi" w:cstheme="minorHAnsi"/>
        </w:rPr>
      </w:pPr>
    </w:p>
    <w:p w14:paraId="5B834E14" w14:textId="77777777" w:rsidR="00957A98" w:rsidRPr="00E41832" w:rsidRDefault="00957A98" w:rsidP="00957A98">
      <w:pPr>
        <w:rPr>
          <w:rFonts w:asciiTheme="minorHAnsi" w:hAnsiTheme="minorHAnsi" w:cstheme="minorHAnsi"/>
        </w:rPr>
      </w:pPr>
    </w:p>
    <w:p w14:paraId="57574522" w14:textId="77777777" w:rsidR="00957A98" w:rsidRPr="00E41832" w:rsidRDefault="00957A98" w:rsidP="00957A98">
      <w:pPr>
        <w:rPr>
          <w:rFonts w:asciiTheme="minorHAnsi" w:hAnsiTheme="minorHAnsi" w:cstheme="minorHAnsi"/>
        </w:rPr>
      </w:pPr>
    </w:p>
    <w:p w14:paraId="4A040A75" w14:textId="77777777" w:rsidR="00957A98" w:rsidRPr="00E41832" w:rsidRDefault="00957A98" w:rsidP="00957A9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426"/>
        <w:gridCol w:w="4813"/>
      </w:tblGrid>
      <w:tr w:rsidR="00957A98" w:rsidRPr="00E41832" w14:paraId="44753B7F" w14:textId="77777777" w:rsidTr="005D79FF">
        <w:tc>
          <w:tcPr>
            <w:tcW w:w="1515" w:type="dxa"/>
            <w:tcBorders>
              <w:right w:val="single" w:sz="4" w:space="0" w:color="auto"/>
            </w:tcBorders>
            <w:shd w:val="clear" w:color="auto" w:fill="34A4F0"/>
            <w:tcMar>
              <w:top w:w="57" w:type="dxa"/>
              <w:bottom w:w="57" w:type="dxa"/>
            </w:tcMar>
            <w:vAlign w:val="center"/>
          </w:tcPr>
          <w:p w14:paraId="181213EE" w14:textId="77777777" w:rsidR="00957A98" w:rsidRPr="00E41832" w:rsidRDefault="00957A98" w:rsidP="005D79FF">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lastRenderedPageBreak/>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08935ABF"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180CF73A"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957A98" w:rsidRPr="00E41832" w14:paraId="0020F704"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60783F4A"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957A98" w:rsidRPr="00E41832" w14:paraId="500461B9" w14:textId="77777777" w:rsidTr="005D79FF">
        <w:trPr>
          <w:trHeight w:val="697"/>
        </w:trPr>
        <w:tc>
          <w:tcPr>
            <w:tcW w:w="1515" w:type="dxa"/>
            <w:tcBorders>
              <w:right w:val="single" w:sz="4" w:space="0" w:color="auto"/>
            </w:tcBorders>
            <w:tcMar>
              <w:top w:w="57" w:type="dxa"/>
              <w:bottom w:w="57" w:type="dxa"/>
            </w:tcMar>
          </w:tcPr>
          <w:p w14:paraId="0BB114F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Premature mortality from noncommunicable disease</w:t>
            </w:r>
          </w:p>
        </w:tc>
        <w:tc>
          <w:tcPr>
            <w:tcW w:w="2551" w:type="dxa"/>
            <w:tcBorders>
              <w:left w:val="single" w:sz="4" w:space="0" w:color="auto"/>
              <w:right w:val="single" w:sz="4" w:space="0" w:color="auto"/>
            </w:tcBorders>
            <w:tcMar>
              <w:top w:w="57" w:type="dxa"/>
              <w:bottom w:w="57" w:type="dxa"/>
            </w:tcMar>
          </w:tcPr>
          <w:p w14:paraId="237E30A2"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3B1C8418"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Unconditional probability of dying between ages of 30 and 70 from cardiovascular diseases, cancer, diabetes or chronic respiratory diseases</w:t>
            </w:r>
          </w:p>
        </w:tc>
      </w:tr>
      <w:tr w:rsidR="00957A98" w:rsidRPr="00E41832" w14:paraId="34A8F443" w14:textId="77777777" w:rsidTr="005D79FF">
        <w:trPr>
          <w:trHeight w:val="249"/>
        </w:trPr>
        <w:tc>
          <w:tcPr>
            <w:tcW w:w="4066" w:type="dxa"/>
            <w:gridSpan w:val="2"/>
            <w:tcBorders>
              <w:right w:val="single" w:sz="4" w:space="0" w:color="auto"/>
            </w:tcBorders>
            <w:tcMar>
              <w:top w:w="57" w:type="dxa"/>
              <w:bottom w:w="57" w:type="dxa"/>
            </w:tcMar>
          </w:tcPr>
          <w:p w14:paraId="5325E600"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6FF56823"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957A98" w:rsidRPr="00E41832" w14:paraId="76843B59"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50AF7765"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957A98" w:rsidRPr="00E41832" w14:paraId="21EAF8CD" w14:textId="77777777" w:rsidTr="005D79FF">
        <w:trPr>
          <w:trHeight w:val="641"/>
        </w:trPr>
        <w:tc>
          <w:tcPr>
            <w:tcW w:w="1515" w:type="dxa"/>
            <w:tcBorders>
              <w:right w:val="single" w:sz="4" w:space="0" w:color="auto"/>
            </w:tcBorders>
            <w:tcMar>
              <w:top w:w="57" w:type="dxa"/>
              <w:bottom w:w="57" w:type="dxa"/>
            </w:tcMar>
          </w:tcPr>
          <w:p w14:paraId="49E5C77B"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0F22A728"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At least 10% relative reduction in the harmful use of alcohol, as appropriate, within the national context</w:t>
            </w:r>
          </w:p>
        </w:tc>
        <w:tc>
          <w:tcPr>
            <w:tcW w:w="5165" w:type="dxa"/>
            <w:tcBorders>
              <w:left w:val="single" w:sz="4" w:space="0" w:color="auto"/>
            </w:tcBorders>
            <w:tcMar>
              <w:top w:w="57" w:type="dxa"/>
              <w:bottom w:w="57" w:type="dxa"/>
            </w:tcMar>
          </w:tcPr>
          <w:p w14:paraId="3F736B7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49EEAE70"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p>
          <w:p w14:paraId="64A6E25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714613C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871698C"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957A98" w:rsidRPr="00E41832" w14:paraId="7FACD8DE" w14:textId="77777777" w:rsidTr="005D79FF">
        <w:tc>
          <w:tcPr>
            <w:tcW w:w="1515" w:type="dxa"/>
            <w:tcBorders>
              <w:right w:val="single" w:sz="4" w:space="0" w:color="auto"/>
            </w:tcBorders>
            <w:tcMar>
              <w:top w:w="57" w:type="dxa"/>
              <w:bottom w:w="57" w:type="dxa"/>
            </w:tcMar>
          </w:tcPr>
          <w:p w14:paraId="4E579B40"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11EBCABB"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1DCD31AA"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63F7166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192370D8"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957A98" w:rsidRPr="00E41832" w14:paraId="31E8722F" w14:textId="77777777" w:rsidTr="005D79FF">
        <w:trPr>
          <w:trHeight w:val="567"/>
        </w:trPr>
        <w:tc>
          <w:tcPr>
            <w:tcW w:w="1515" w:type="dxa"/>
            <w:tcBorders>
              <w:right w:val="single" w:sz="4" w:space="0" w:color="auto"/>
            </w:tcBorders>
            <w:tcMar>
              <w:top w:w="57" w:type="dxa"/>
              <w:bottom w:w="57" w:type="dxa"/>
            </w:tcMar>
          </w:tcPr>
          <w:p w14:paraId="2508CB04"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5D61106C"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A 30% relative reduction in mean population intake of salt/sodium</w:t>
            </w:r>
          </w:p>
        </w:tc>
        <w:tc>
          <w:tcPr>
            <w:tcW w:w="5165" w:type="dxa"/>
            <w:tcBorders>
              <w:left w:val="single" w:sz="4" w:space="0" w:color="auto"/>
            </w:tcBorders>
            <w:tcMar>
              <w:top w:w="57" w:type="dxa"/>
              <w:bottom w:w="57" w:type="dxa"/>
            </w:tcMar>
          </w:tcPr>
          <w:p w14:paraId="6FBFF35F"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957A98" w:rsidRPr="00E41832" w14:paraId="000E33E2" w14:textId="77777777" w:rsidTr="005D79FF">
        <w:trPr>
          <w:trHeight w:val="715"/>
        </w:trPr>
        <w:tc>
          <w:tcPr>
            <w:tcW w:w="1515" w:type="dxa"/>
            <w:tcBorders>
              <w:right w:val="single" w:sz="4" w:space="0" w:color="auto"/>
            </w:tcBorders>
            <w:tcMar>
              <w:top w:w="57" w:type="dxa"/>
              <w:bottom w:w="57" w:type="dxa"/>
            </w:tcMar>
          </w:tcPr>
          <w:p w14:paraId="3D71337D"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3AD12803"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04F8E09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Prevalence of current tobacco use among adolescents</w:t>
            </w:r>
          </w:p>
          <w:p w14:paraId="5ACDEBF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8E1F8B0"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957A98" w:rsidRPr="00E41832" w14:paraId="7A2CA2BE"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3BE92491"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957A98" w:rsidRPr="00E41832" w14:paraId="513DA5D8" w14:textId="77777777" w:rsidTr="005D79FF">
        <w:tc>
          <w:tcPr>
            <w:tcW w:w="1515" w:type="dxa"/>
            <w:tcBorders>
              <w:right w:val="single" w:sz="4" w:space="0" w:color="auto"/>
            </w:tcBorders>
            <w:tcMar>
              <w:top w:w="57" w:type="dxa"/>
              <w:bottom w:w="57" w:type="dxa"/>
            </w:tcMar>
          </w:tcPr>
          <w:p w14:paraId="1D6C5939"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Raised blood pressure</w:t>
            </w:r>
          </w:p>
        </w:tc>
        <w:tc>
          <w:tcPr>
            <w:tcW w:w="2551" w:type="dxa"/>
            <w:tcBorders>
              <w:left w:val="single" w:sz="4" w:space="0" w:color="auto"/>
              <w:right w:val="single" w:sz="4" w:space="0" w:color="auto"/>
            </w:tcBorders>
            <w:tcMar>
              <w:top w:w="57" w:type="dxa"/>
              <w:bottom w:w="57" w:type="dxa"/>
            </w:tcMar>
          </w:tcPr>
          <w:p w14:paraId="60A79F78"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A 25% relative reduction in the prevalence of raised blood pressure or contain the prevalence of raised blood pressure, according to national circumstances</w:t>
            </w:r>
          </w:p>
        </w:tc>
        <w:tc>
          <w:tcPr>
            <w:tcW w:w="5165" w:type="dxa"/>
            <w:tcBorders>
              <w:left w:val="single" w:sz="4" w:space="0" w:color="auto"/>
            </w:tcBorders>
            <w:tcMar>
              <w:top w:w="57" w:type="dxa"/>
              <w:bottom w:w="57" w:type="dxa"/>
            </w:tcMar>
          </w:tcPr>
          <w:p w14:paraId="199DAE8A"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957A98" w:rsidRPr="00E41832" w14:paraId="2BE14B1F" w14:textId="77777777" w:rsidTr="005D79FF">
        <w:tc>
          <w:tcPr>
            <w:tcW w:w="1515" w:type="dxa"/>
            <w:tcBorders>
              <w:right w:val="single" w:sz="4" w:space="0" w:color="auto"/>
            </w:tcBorders>
            <w:tcMar>
              <w:top w:w="57" w:type="dxa"/>
              <w:bottom w:w="57" w:type="dxa"/>
            </w:tcMar>
          </w:tcPr>
          <w:p w14:paraId="451034C6"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19C55996"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430A982C"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Age-standardized prevalence of raised blood glucose/diabetes among persons aged 18+ years (defined as fasting plasma glucose concentration ≥ 7.0 mmol/l (126 mg/dl) or on medication for raised blood glucose)</w:t>
            </w:r>
          </w:p>
          <w:p w14:paraId="087CB12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2A588A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137833D4"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05691899"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Age-standardized prevalence of overweight and obesity in persons aged 18+ years (defined as body mass index ≥ 25 kg/m² for overweight and body mass index ≥ 30 kg/m² for obesity)</w:t>
            </w:r>
          </w:p>
        </w:tc>
      </w:tr>
      <w:tr w:rsidR="00957A98" w:rsidRPr="00E41832" w14:paraId="46322417" w14:textId="77777777" w:rsidTr="005D79FF">
        <w:tc>
          <w:tcPr>
            <w:tcW w:w="4066" w:type="dxa"/>
            <w:gridSpan w:val="2"/>
            <w:tcBorders>
              <w:right w:val="single" w:sz="4" w:space="0" w:color="auto"/>
            </w:tcBorders>
            <w:tcMar>
              <w:top w:w="57" w:type="dxa"/>
              <w:bottom w:w="57" w:type="dxa"/>
            </w:tcMar>
          </w:tcPr>
          <w:p w14:paraId="7D0BBE2C"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468B9CFD"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75126B40"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p>
          <w:p w14:paraId="5EA9722E"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Age-standardized prevalence of persons (aged 18+ years) consuming less than five total servings (400 grams) of fruit and vegetables per day</w:t>
            </w:r>
          </w:p>
          <w:p w14:paraId="258E3956"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5C3A5DED"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lastRenderedPageBreak/>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0C9F5BC7" w14:textId="77777777" w:rsidR="00957A98" w:rsidRPr="00E41832" w:rsidRDefault="00957A98" w:rsidP="00957A9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446"/>
        <w:gridCol w:w="4793"/>
      </w:tblGrid>
      <w:tr w:rsidR="00957A98" w:rsidRPr="00E41832" w14:paraId="565452BF" w14:textId="77777777" w:rsidTr="005D79FF">
        <w:tc>
          <w:tcPr>
            <w:tcW w:w="1515" w:type="dxa"/>
            <w:tcBorders>
              <w:right w:val="single" w:sz="4" w:space="0" w:color="auto"/>
            </w:tcBorders>
            <w:shd w:val="clear" w:color="auto" w:fill="34A4F0"/>
            <w:tcMar>
              <w:top w:w="57" w:type="dxa"/>
              <w:bottom w:w="57" w:type="dxa"/>
            </w:tcMar>
            <w:vAlign w:val="center"/>
          </w:tcPr>
          <w:p w14:paraId="58909777" w14:textId="77777777" w:rsidR="00957A98" w:rsidRPr="00E41832" w:rsidRDefault="00957A98" w:rsidP="005D79FF">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3E0F9695"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7710B09C"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957A98" w:rsidRPr="00E41832" w14:paraId="59BDC404"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7BF74FCF"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957A98" w:rsidRPr="00E41832" w14:paraId="2BC45264" w14:textId="77777777" w:rsidTr="005D79FF">
        <w:tc>
          <w:tcPr>
            <w:tcW w:w="1515" w:type="dxa"/>
            <w:tcBorders>
              <w:right w:val="single" w:sz="4" w:space="0" w:color="auto"/>
            </w:tcBorders>
            <w:tcMar>
              <w:top w:w="57" w:type="dxa"/>
              <w:bottom w:w="57" w:type="dxa"/>
            </w:tcMar>
          </w:tcPr>
          <w:p w14:paraId="6015A531"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396F3D8A"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7B98B0D2"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957A98" w:rsidRPr="00E41832" w14:paraId="5D2021B6" w14:textId="77777777" w:rsidTr="005D79FF">
        <w:tc>
          <w:tcPr>
            <w:tcW w:w="1515" w:type="dxa"/>
            <w:tcBorders>
              <w:right w:val="single" w:sz="4" w:space="0" w:color="auto"/>
            </w:tcBorders>
            <w:tcMar>
              <w:top w:w="57" w:type="dxa"/>
              <w:bottom w:w="57" w:type="dxa"/>
            </w:tcMar>
          </w:tcPr>
          <w:p w14:paraId="25998199"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0D0D9810"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5D8F4A3E"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957A98" w:rsidRPr="00E41832" w14:paraId="04C80E45" w14:textId="77777777" w:rsidTr="005D79FF">
        <w:tc>
          <w:tcPr>
            <w:tcW w:w="4066" w:type="dxa"/>
            <w:gridSpan w:val="2"/>
            <w:tcBorders>
              <w:right w:val="single" w:sz="4" w:space="0" w:color="auto"/>
            </w:tcBorders>
            <w:tcMar>
              <w:top w:w="57" w:type="dxa"/>
              <w:bottom w:w="57" w:type="dxa"/>
            </w:tcMar>
          </w:tcPr>
          <w:p w14:paraId="34BA2041"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63742EF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7B3B5D6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F7BFD4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21. </w:t>
            </w:r>
            <w:r w:rsidRPr="00E41832">
              <w:rPr>
                <w:rFonts w:asciiTheme="minorHAnsi" w:hAnsiTheme="minorHAnsi" w:cstheme="minorHAnsi"/>
                <w:color w:val="414142"/>
                <w:sz w:val="16"/>
                <w:szCs w:val="16"/>
              </w:rPr>
              <w:t>Adoption of national policies that limit saturated fatty acids and virtually eliminate partially hydrogenated vegetable oils in the food supply, as appropriate, within the national context and national programmes</w:t>
            </w:r>
          </w:p>
          <w:p w14:paraId="42B189F4"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0062FB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7860F2F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A55E11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0BAA319D"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1B3E153A"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37C10699"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0326DBBA"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bookmarkEnd w:id="3"/>
      <w:bookmarkEnd w:id="4"/>
    </w:tbl>
    <w:p w14:paraId="29C8CDF1" w14:textId="040C3A48" w:rsidR="00A24E0D" w:rsidRPr="00957A98" w:rsidRDefault="00A24E0D" w:rsidP="007E2D67">
      <w:pPr>
        <w:rPr>
          <w:rFonts w:asciiTheme="minorHAnsi" w:hAnsiTheme="minorHAnsi" w:cstheme="minorHAnsi"/>
        </w:rPr>
      </w:pPr>
    </w:p>
    <w:sectPr w:rsidR="00A24E0D" w:rsidRPr="00957A98" w:rsidSect="00957A98">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E829D" w14:textId="77777777" w:rsidR="00AD1CEF" w:rsidRDefault="00AD1CEF" w:rsidP="00957A98">
      <w:r>
        <w:separator/>
      </w:r>
    </w:p>
  </w:endnote>
  <w:endnote w:type="continuationSeparator" w:id="0">
    <w:p w14:paraId="267F5B76" w14:textId="77777777" w:rsidR="00AD1CEF" w:rsidRDefault="00AD1CEF" w:rsidP="0095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Content>
      <w:p w14:paraId="1041BB92" w14:textId="77777777" w:rsidR="00957A98" w:rsidRDefault="00957A9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C590B4" w14:textId="77777777" w:rsidR="00957A98" w:rsidRDefault="0095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Content>
      <w:p w14:paraId="2AE61046" w14:textId="77777777" w:rsidR="00957A98" w:rsidRDefault="00957A9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0B10DD" w14:textId="77777777" w:rsidR="00957A98" w:rsidRDefault="00957A98"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1A5BE" w14:textId="77777777" w:rsidR="00957A98" w:rsidRPr="00F7321D" w:rsidRDefault="00957A98"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7FD03B51" w14:textId="77777777" w:rsidR="00957A98" w:rsidRDefault="00957A98"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55CC" w14:textId="77777777" w:rsidR="00AD1CEF" w:rsidRDefault="00AD1CEF" w:rsidP="00957A98">
      <w:r>
        <w:separator/>
      </w:r>
    </w:p>
  </w:footnote>
  <w:footnote w:type="continuationSeparator" w:id="0">
    <w:p w14:paraId="7DE10EE5" w14:textId="77777777" w:rsidR="00AD1CEF" w:rsidRDefault="00AD1CEF" w:rsidP="00957A98">
      <w:r>
        <w:continuationSeparator/>
      </w:r>
    </w:p>
  </w:footnote>
  <w:footnote w:id="1">
    <w:p w14:paraId="2258258A" w14:textId="77777777" w:rsidR="00957A98" w:rsidRPr="00E800A6" w:rsidRDefault="00957A98" w:rsidP="00957A9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2AA4D30F" w14:textId="77777777" w:rsidR="00957A98" w:rsidRPr="00E87593" w:rsidRDefault="00957A98" w:rsidP="00957A9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1"/>
  </w:num>
  <w:num w:numId="2" w16cid:durableId="1902057932">
    <w:abstractNumId w:val="3"/>
  </w:num>
  <w:num w:numId="3" w16cid:durableId="781220652">
    <w:abstractNumId w:val="2"/>
  </w:num>
  <w:num w:numId="4" w16cid:durableId="195725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A2"/>
    <w:rsid w:val="00002F31"/>
    <w:rsid w:val="00044DF0"/>
    <w:rsid w:val="00204847"/>
    <w:rsid w:val="00230ECF"/>
    <w:rsid w:val="00234300"/>
    <w:rsid w:val="002670C5"/>
    <w:rsid w:val="002776BD"/>
    <w:rsid w:val="00284E7E"/>
    <w:rsid w:val="0031083B"/>
    <w:rsid w:val="00321608"/>
    <w:rsid w:val="00373434"/>
    <w:rsid w:val="00374437"/>
    <w:rsid w:val="003C417D"/>
    <w:rsid w:val="004429B2"/>
    <w:rsid w:val="00483D1A"/>
    <w:rsid w:val="005D2DC0"/>
    <w:rsid w:val="006053BB"/>
    <w:rsid w:val="00622F89"/>
    <w:rsid w:val="00632DF4"/>
    <w:rsid w:val="006F7016"/>
    <w:rsid w:val="00733545"/>
    <w:rsid w:val="007B36A2"/>
    <w:rsid w:val="007E2D67"/>
    <w:rsid w:val="007F2DC6"/>
    <w:rsid w:val="00843335"/>
    <w:rsid w:val="00912187"/>
    <w:rsid w:val="00957A98"/>
    <w:rsid w:val="00996A78"/>
    <w:rsid w:val="009F7BC3"/>
    <w:rsid w:val="00A24E0D"/>
    <w:rsid w:val="00A5311E"/>
    <w:rsid w:val="00A61A49"/>
    <w:rsid w:val="00AD1CEF"/>
    <w:rsid w:val="00B26899"/>
    <w:rsid w:val="00B4785B"/>
    <w:rsid w:val="00B56A97"/>
    <w:rsid w:val="00C9082F"/>
    <w:rsid w:val="00CA01E3"/>
    <w:rsid w:val="00D769AD"/>
    <w:rsid w:val="00DD2F07"/>
    <w:rsid w:val="00F3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7A40"/>
  <w15:chartTrackingRefBased/>
  <w15:docId w15:val="{595F091A-FF24-472E-960F-E97F33E7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BB"/>
    <w:pPr>
      <w:spacing w:after="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rsid w:val="00957A98"/>
    <w:pPr>
      <w:tabs>
        <w:tab w:val="left" w:pos="480"/>
        <w:tab w:val="right" w:leader="dot" w:pos="9016"/>
      </w:tabs>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rsid w:val="00957A98"/>
    <w:pPr>
      <w:pBdr>
        <w:top w:val="single" w:sz="6" w:space="1" w:color="auto"/>
        <w:between w:val="single" w:sz="6" w:space="1" w:color="auto"/>
      </w:pBdr>
      <w:spacing w:before="24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rsid w:val="00957A98"/>
    <w:pPr>
      <w:numPr>
        <w:numId w:val="2"/>
      </w:numPr>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rsid w:val="00957A98"/>
    <w:pPr>
      <w:ind w:left="0"/>
    </w:pPr>
  </w:style>
  <w:style w:type="paragraph" w:styleId="Header">
    <w:name w:val="header"/>
    <w:aliases w:val="HeaderQ"/>
    <w:basedOn w:val="Normal"/>
    <w:link w:val="HeaderChar"/>
    <w:rsid w:val="00957A98"/>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sid w:val="00957A98"/>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rsid w:val="00957A98"/>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sid w:val="00957A98"/>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rsid w:val="00957A98"/>
  </w:style>
  <w:style w:type="character" w:styleId="Hyperlink">
    <w:name w:val="Hyperlink"/>
    <w:uiPriority w:val="99"/>
    <w:rsid w:val="00957A98"/>
    <w:rPr>
      <w:color w:val="0000FF"/>
      <w:u w:val="single"/>
    </w:rPr>
  </w:style>
  <w:style w:type="paragraph" w:styleId="FootnoteText">
    <w:name w:val="footnote text"/>
    <w:basedOn w:val="Normal"/>
    <w:link w:val="FootnoteTextChar"/>
    <w:rsid w:val="00957A98"/>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sid w:val="00957A98"/>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sid w:val="00957A98"/>
    <w:rPr>
      <w:vertAlign w:val="superscript"/>
    </w:rPr>
  </w:style>
  <w:style w:type="table" w:styleId="TableGrid">
    <w:name w:val="Table Grid"/>
    <w:basedOn w:val="TableNormal"/>
    <w:uiPriority w:val="59"/>
    <w:rsid w:val="00957A98"/>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9</cp:revision>
  <dcterms:created xsi:type="dcterms:W3CDTF">2024-12-10T19:44:00Z</dcterms:created>
  <dcterms:modified xsi:type="dcterms:W3CDTF">2024-12-10T20:52:00Z</dcterms:modified>
</cp:coreProperties>
</file>