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7529" w14:textId="226976EE" w:rsidR="00C47B8A" w:rsidRPr="0089270D" w:rsidRDefault="00C47B8A" w:rsidP="00E33F62">
      <w:pPr>
        <w:rPr>
          <w:color w:val="A8222D"/>
        </w:rPr>
      </w:pPr>
    </w:p>
    <w:tbl xmlns:a="http://schemas.openxmlformats.org/drawingml/2006/main" xmlns:pic="http://schemas.openxmlformats.org/drawingml/2006/picture">
      <w:tblPr>
        <w:tblLayout w:type="fixed"/>
        <w:jc w:val="center"/>
        <w:tblLook w:firstRow="1" w:lastRow="0" w:firstColumn="0" w:lastColumn="0" w:noHBand="0" w:noVBand="1"/>
      </w:tblPr>
      <w:tblGrid>
        <w:gridCol w:w="10512"/>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true"/>
                <w:u w:val="none"/>
                <w:sz w:val="24"/>
                <w:szCs w:val="24"/>
                <w:color w:val="000000"/>
              </w:rPr>
            </w:pPr>
            <w:r>
              <w:rPr>
                <w:rFonts w:ascii="Helvetica" w:hAnsi="Helvetica" w:eastAsia="Helvetica" w:cs="Helvetica"/>
                <w:i w:val="false"/>
                <w:b w:val="true"/>
                <w:u w:val="none"/>
                <w:sz w:val="24"/>
                <w:szCs w:val="24"/>
                <w:color w:val="000000"/>
              </w:rPr>
              <w:t xml:space="preserve">Contexte</w:t>
            </w:r>
          </w:p>
        </w:tc>
      </w:tr>
    </w:tbl>
    <w:p>
      <w:pPr>
        <w:pStyle w:val="Normal"/>
      </w:pPr>
      <w:r>
        <w:t xml:space="preserve">Le cholestérol sanguin élevé est un facteur de risque modifiable majeur pour les maladies non transmissibles (MNT), qui représentent 83 % de tous les décès au Liban, en particulier les maladies cardiovasculaires (MCV), y compris les attaques cardiaques et les accidents vasculaires cérébraux, les MCV étant la principale cause de décès dans le pays, responsable de 42 % de tous les décès. La détection précoce, la modification du mode de vie et le traitement médical approprié peuvent réduire de manière significative le risque cardiovasculaire, ce qui est particulièrement crucial au Liban où 34,3 % de la population a une hypertension, 54,4 % des hommes et 43,7 % des femmes sont en surpoids ou obèses, et 14,8 % de la population est diabétique, autant de facteurs de risque majeurs pour les MCV.</w:t>
      </w:r>
    </w:p>
    <w:p>
      <w:pPr>
        <w:pStyle w:val="Normal"/>
      </w:pPr>
      <w:r>
        <w:t xml:space="preserve">
</w:t>
      </w:r>
    </w:p>
    <w:tbl xmlns:a="http://schemas.openxmlformats.org/drawingml/2006/main" xmlns:pic="http://schemas.openxmlformats.org/drawingml/2006/picture">
      <w:tblPr>
        <w:tblLayout w:type="fixed"/>
        <w:jc w:val="center"/>
        <w:tblLook w:firstRow="1" w:lastRow="0" w:firstColumn="0" w:lastColumn="0" w:noHBand="0" w:noVBand="1"/>
      </w:tblPr>
      <w:tblGrid>
        <w:gridCol w:w="10512"/>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true"/>
                <w:u w:val="none"/>
                <w:sz w:val="24"/>
                <w:szCs w:val="24"/>
                <w:color w:val="000000"/>
              </w:rPr>
            </w:pPr>
            <w:r>
              <w:rPr>
                <w:rFonts w:ascii="Helvetica" w:hAnsi="Helvetica" w:eastAsia="Helvetica" w:cs="Helvetica"/>
                <w:i w:val="false"/>
                <w:b w:val="true"/>
                <w:u w:val="none"/>
                <w:sz w:val="24"/>
                <w:szCs w:val="24"/>
                <w:color w:val="000000"/>
              </w:rPr>
              <w:t xml:space="preserve">Résultats</w:t>
            </w:r>
          </w:p>
        </w:tc>
      </w:tr>
    </w:tbl>
    <w:p>
      <w:pPr>
        <w:pStyle w:val="bullet"/>
      </w:pPr>
      <w:r>
        <w:rPr>
          <w:rFonts w:ascii="Arial" w:hAnsi="Arial" w:eastAsia="Arial" w:cs="Arial"/>
          <w:i w:val="false"/>
          <w:b w:val="true"/>
          <w:u w:val="none"/>
          <w:sz w:val="20"/>
          <w:szCs w:val="20"/>
          <w:color w:val="000000"/>
        </w:rPr>
        <w:t xml:space="preserve">Moyenne et prévalence du cholestérol</w:t>
      </w:r>
      <w:r>
        <w:rPr>
          <w:rFonts w:ascii="Arial" w:hAnsi="Arial" w:eastAsia="Arial" w:cs="Arial"/>
          <w:i w:val="false"/>
          <w:b w:val="true"/>
          <w:u w:val="none"/>
          <w:sz w:val="20"/>
          <w:szCs w:val="20"/>
          <w:color w:val="000000"/>
        </w:rPr>
        <w:t xml:space="preserve">: </w:t>
      </w:r>
      <w:r>
        <w:t xml:space="preserve">Les données sur le cholestérol élevé au Liban montrent que les taux de cholestérol total mesurés sont restés stables entre 2024 et 2025, avec une moyenne de 124 mg/dl. Les hommes ont présenté une augmentation significative de 1 mg/dl (p = 0,0214) pour les taux de cholestérol total ≥ 5,0 mmol/L ou ≥ 190 mg/dl, ainsi qu'une augmentation de 2 (p = 0,0045) dans la catégorie d'âge 18-44 ans. Les femmes n'ont montré aucune variation significative, à l'exception d'une diminution de 1 mg/dl (p = 0,0021) dans la catégorie d'âge 18-44 ans pour les taux de cholestérol mesurés. Les autres catégories d'âge et de sexe n'ont présenté aucun changement significatif.</w:t>
      </w:r>
    </w:p>
    <w:p>
      <w:pPr/>
      <w:r>
        <w:br w:type="page"/>
      </w:r>
    </w:p>
    <w:tbl xmlns:a="http://schemas.openxmlformats.org/drawingml/2006/main" xmlns:pic="http://schemas.openxmlformats.org/drawingml/2006/picture">
      <w:tblPr>
        <w:tblLayout w:type="fixed"/>
        <w:jc w:val="center"/>
        <w:tblLook w:firstRow="1" w:lastRow="0" w:firstColumn="0" w:lastColumn="0" w:noHBand="0" w:noVBand="1"/>
      </w:tblPr>
      <w:tblGrid>
        <w:gridCol w:w="10512"/>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true"/>
                <w:u w:val="none"/>
                <w:sz w:val="24"/>
                <w:szCs w:val="24"/>
                <w:color w:val="000000"/>
              </w:rPr>
            </w:pPr>
            <w:r>
              <w:rPr>
                <w:rFonts w:ascii="Helvetica" w:hAnsi="Helvetica" w:eastAsia="Helvetica" w:cs="Helvetica"/>
                <w:i w:val="false"/>
                <w:b w:val="true"/>
                <w:u w:val="none"/>
                <w:sz w:val="24"/>
                <w:szCs w:val="24"/>
                <w:color w:val="000000"/>
              </w:rPr>
              <w:t xml:space="preserve">Graphiques</w:t>
            </w:r>
          </w:p>
        </w:tc>
      </w:tr>
    </w:tbl>
    <w:p>
      <w:pPr>
        <w:pStyle w:val="Normal"/>
      </w:pPr>
      <w:r>
        <w:rPr/>
        <w:drawing>
          <wp:inline distT="0" distB="0" distL="0" distR="0">
            <wp:extent cx="6629400" cy="4114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5"/>
                    <a:stretch>
                      <a:fillRect/>
                    </a:stretch>
                  </pic:blipFill>
                  <pic:spPr bwMode="auto">
                    <a:xfrm>
                      <a:off x="0" y="0"/>
                      <a:ext cx="92075" cy="57150"/>
                    </a:xfrm>
                    <a:prstGeom prst="rect">
                      <a:avLst/>
                    </a:prstGeom>
                    <a:noFill/>
                  </pic:spPr>
                </pic:pic>
              </a:graphicData>
            </a:graphic>
          </wp:inline>
        </w:drawing>
      </w:r>
    </w:p>
    <w:p>
      <w:pPr>
        <w:pStyle w:val="Normal"/>
      </w:pPr>
      <w:r>
        <w:rPr/>
        <w:drawing>
          <wp:inline distT="0" distB="0" distL="0" distR="0">
            <wp:extent cx="6629400" cy="41148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6"/>
                    <a:stretch>
                      <a:fillRect/>
                    </a:stretch>
                  </pic:blipFill>
                  <pic:spPr bwMode="auto">
                    <a:xfrm>
                      <a:off x="0" y="0"/>
                      <a:ext cx="92075" cy="57150"/>
                    </a:xfrm>
                    <a:prstGeom prst="rect">
                      <a:avLst/>
                    </a:prstGeom>
                    <a:noFill/>
                  </pic:spPr>
                </pic:pic>
              </a:graphicData>
            </a:graphic>
          </wp:inline>
        </w:drawing>
      </w:r>
    </w:p>
    <w:sectPr w:rsidR="00C47B8A" w:rsidRPr="0089270D" w:rsidSect="00680F46">
      <w:headerReference w:type="even" r:id="rId7"/>
      <w:headerReference w:type="default" r:id="rId8"/>
      <w:footerReference w:type="even" r:id="rId9"/>
      <w:footerReference w:type="default" r:id="rId10"/>
      <w:headerReference w:type="first" r:id="rId11"/>
      <w:footerReference w:type="first" r:id="rId12"/>
      <w:pgSz w:w="11906" w:h="16838"/>
      <w:pgMar w:top="1440" w:right="737" w:bottom="1440" w:left="737" w:header="680"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0EAE9" w14:textId="77777777" w:rsidR="00D5084D" w:rsidRDefault="00D5084D" w:rsidP="00D427AF">
      <w:r>
        <w:separator/>
      </w:r>
    </w:p>
  </w:endnote>
  <w:endnote w:type="continuationSeparator" w:id="0">
    <w:p w14:paraId="44B678EE" w14:textId="77777777" w:rsidR="00D5084D" w:rsidRDefault="00D5084D" w:rsidP="00D42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0982265"/>
      <w:docPartObj>
        <w:docPartGallery w:val="Page Numbers (Bottom of Page)"/>
        <w:docPartUnique/>
      </w:docPartObj>
    </w:sdtPr>
    <w:sdtContent>
      <w:p w14:paraId="7ACB4BD3" w14:textId="0CD44354" w:rsidR="00966848" w:rsidRDefault="00966848" w:rsidP="00E81E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F2093" w14:textId="77777777" w:rsidR="00946C5B" w:rsidRDefault="00946C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2989871"/>
      <w:docPartObj>
        <w:docPartGallery w:val="Page Numbers (Bottom of Page)"/>
        <w:docPartUnique/>
      </w:docPartObj>
    </w:sdtPr>
    <w:sdtContent>
      <w:p w14:paraId="6F4B1C03" w14:textId="7C9A7139" w:rsidR="00966848" w:rsidRDefault="00966848" w:rsidP="00E81E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DFE05E" w14:textId="77777777" w:rsidR="00946C5B" w:rsidRDefault="00946C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05171" w14:textId="77777777" w:rsidR="00946C5B" w:rsidRDefault="00946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8DEC6" w14:textId="77777777" w:rsidR="00D5084D" w:rsidRDefault="00D5084D" w:rsidP="00D427AF">
      <w:r>
        <w:separator/>
      </w:r>
    </w:p>
  </w:footnote>
  <w:footnote w:type="continuationSeparator" w:id="0">
    <w:p w14:paraId="11C6AB86" w14:textId="77777777" w:rsidR="00D5084D" w:rsidRDefault="00D5084D" w:rsidP="00D42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92DF" w14:textId="77777777" w:rsidR="00946C5B" w:rsidRDefault="00946C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62F1" w14:textId="55214F40" w:rsidR="00D427AF" w:rsidRDefault="004C56AA" w:rsidP="00AD077D">
    <w:pPr>
      <w:pStyle w:val="Header"/>
      <w:jc w:val="center"/>
    </w:pPr>
    <w:r>
      <w:rPr>
        <w:noProof/>
      </w:rPr>
      <mc:AlternateContent>
        <mc:Choice Requires="wps">
          <w:drawing>
            <wp:anchor distT="0" distB="0" distL="114300" distR="114300" simplePos="0" relativeHeight="251659264" behindDoc="0" locked="0" layoutInCell="1" allowOverlap="1" wp14:anchorId="79EA2CC7" wp14:editId="6F4758ED">
              <wp:simplePos x="0" y="0"/>
              <wp:positionH relativeFrom="column">
                <wp:posOffset>-467995</wp:posOffset>
              </wp:positionH>
              <wp:positionV relativeFrom="paragraph">
                <wp:posOffset>-417195</wp:posOffset>
              </wp:positionV>
              <wp:extent cx="7550590" cy="860080"/>
              <wp:effectExtent l="0" t="0" r="6350" b="3810"/>
              <wp:wrapNone/>
              <wp:docPr id="2140200295" name="Rectangle 1"/>
              <wp:cNvGraphicFramePr/>
              <a:graphic xmlns:a="http://schemas.openxmlformats.org/drawingml/2006/main">
                <a:graphicData uri="http://schemas.microsoft.com/office/word/2010/wordprocessingShape">
                  <wps:wsp>
                    <wps:cNvSpPr/>
                    <wps:spPr>
                      <a:xfrm>
                        <a:off x="0" y="0"/>
                        <a:ext cx="7550590" cy="860080"/>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41F2C1" w14:textId="2246D095" w:rsidR="00056202" w:rsidRDefault="00056202" w:rsidP="00056202">
                          <w:pPr>
                            <w:jc w:val="center"/>
                            <w:rPr>
                              <w:sz w:val="36"/>
                              <w:szCs w:val="36"/>
                            </w:rPr>
                          </w:pPr>
                          <w:bookmarkStart w:id="0" w:name="header"/>
                          <w:r w:rsidRPr="00E04BC0">
                            <w:rPr>
                              <w:sz w:val="36"/>
                              <w:szCs w:val="36"/>
                            </w:rPr>
                            <w:t>Fiche de comparaison : Liban 2024 &amp; 2025</w:t>
                          </w:r>
                          <w:bookmarkEnd w:id="0"/>
                        </w:p>
                        <w:p w14:paraId="6397170D" w14:textId="1E8072A6" w:rsidR="00902713" w:rsidRPr="00E04BC0" w:rsidRDefault="00902713" w:rsidP="00056202">
                          <w:pPr>
                            <w:jc w:val="center"/>
                            <w:rPr>
                              <w:sz w:val="36"/>
                              <w:szCs w:val="36"/>
                            </w:rPr>
                          </w:pPr>
                          <w:bookmarkStart w:id="1" w:name="header2"/>
                          <w:r>
                            <w:rPr>
                              <w:sz w:val="36"/>
                              <w:szCs w:val="36"/>
                            </w:rPr>
                            <w:t>Cholestérol élevé et lipides anormaux</w:t>
                          </w:r>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EA2CC7" id="Rectangle 1" o:spid="_x0000_s1026" style="position:absolute;left:0;text-align:left;margin-left:-36.85pt;margin-top:-32.85pt;width:594.55pt;height:67.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" fillcolor="#2f5496 [2404]" stroked="f" strokeweight="1pt">
              <v:textbox>
                <w:txbxContent>
                  <w:p w14:paraId="4C41F2C1" w14:textId="2246D095" w:rsidR="00056202" w:rsidRDefault="00056202" w:rsidP="00056202">
                    <w:pPr>
                      <w:jc w:val="center"/>
                      <w:rPr>
                        <w:sz w:val="36"/>
                        <w:szCs w:val="36"/>
                      </w:rPr>
                    </w:pPr>
                    <w:bookmarkStart w:id="2" w:name="header"/>
                    <w:r w:rsidRPr="00E04BC0">
                      <w:rPr>
                        <w:sz w:val="36"/>
                        <w:szCs w:val="36"/>
                      </w:rPr>
                      <w:t>header</w:t>
                    </w:r>
                    <w:bookmarkEnd w:id="2"/>
                  </w:p>
                  <w:p w14:paraId="6397170D" w14:textId="1E8072A6" w:rsidR="00902713" w:rsidRPr="00E04BC0" w:rsidRDefault="00902713" w:rsidP="00056202">
                    <w:pPr>
                      <w:jc w:val="center"/>
                      <w:rPr>
                        <w:sz w:val="36"/>
                        <w:szCs w:val="36"/>
                      </w:rPr>
                    </w:pPr>
                    <w:bookmarkStart w:id="3" w:name="header2"/>
                    <w:r>
                      <w:rPr>
                        <w:sz w:val="36"/>
                        <w:szCs w:val="36"/>
                      </w:rPr>
                      <w:t>header2</w:t>
                    </w:r>
                    <w:bookmarkEnd w:id="3"/>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358BE" w14:textId="77777777" w:rsidR="00946C5B" w:rsidRDefault="00946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C7A635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802AE9"/>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13503B"/>
    <w:multiLevelType w:val="hybridMultilevel"/>
    <w:tmpl w:val="C0389990"/>
    <w:lvl w:ilvl="0" w:tplc="71E4AF42">
      <w:start w:val="1"/>
      <w:numFmt w:val="bullet"/>
      <w:pStyle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D38109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54354197">
    <w:abstractNumId w:val="2"/>
  </w:num>
  <w:num w:numId="2" w16cid:durableId="385421868">
    <w:abstractNumId w:val="0"/>
  </w:num>
  <w:num w:numId="3" w16cid:durableId="382798034">
    <w:abstractNumId w:val="1"/>
  </w:num>
  <w:num w:numId="4" w16cid:durableId="1191411409">
    <w:abstractNumId w:val="3"/>
  </w:num>
</w:numbering>
</file>

<file path=word/settings.xml><?xml version="1.0" encoding="utf-8"?>
<w:settings xmlns:w="http://schemas.openxmlformats.org/wordprocessingml/2006/main">
  <w:zoom w:percent="180"/>
  <w:defaultTabStop w:val="720"/>
  <w:hyphenationZone w:val="360"/>
  <w:compat>
    <w:compatSetting w:name="compatibilityMode" w:uri="http://schemas.microsoft.com/office/word" w:val="15"/>
  </w:compat>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F66"/>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ListParagraph">
    <w:name w:val="List Paragraph"/>
    <w:basedOn w:val="Normal"/>
    <w:uiPriority w:val="34"/>
    <w:qFormat/>
    <w:rsid w:val="00C47B8A"/>
    <w:pPr>
      <w:ind w:left="720"/>
      <w:contextualSpacing/>
    </w:pPr>
  </w:style>
  <w:style w:type="paragraph" w:customStyle="1" w:styleId="bullet">
    <w:name w:val="bullet"/>
    <w:basedOn w:val="ListParagraph"/>
    <w:autoRedefine/>
    <w:qFormat/>
    <w:rsid w:val="002A555B"/>
    <w:pPr>
      <w:numPr>
        <w:numId w:val="1"/>
      </w:numPr>
      <w:ind w:left="357" w:hanging="357"/>
    </w:pPr>
  </w:style>
  <w:style w:type="numbering" w:customStyle="1" w:styleId="CurrentList1">
    <w:name w:val="Current List1"/>
    <w:uiPriority w:val="99"/>
    <w:rsid w:val="009F33A2"/>
    <w:pPr>
      <w:numPr>
        <w:numId w:val="3"/>
      </w:numPr>
    </w:pPr>
  </w:style>
  <w:style w:type="paragraph" w:styleId="Header">
    <w:name w:val="header"/>
    <w:basedOn w:val="Normal"/>
    <w:link w:val="HeaderChar"/>
    <w:uiPriority w:val="99"/>
    <w:unhideWhenUsed/>
    <w:rsid w:val="00D427AF"/>
    <w:pPr>
      <w:tabs>
        <w:tab w:val="center" w:pos="4513"/>
        <w:tab w:val="right" w:pos="9026"/>
      </w:tabs>
    </w:pPr>
  </w:style>
  <w:style w:type="character" w:customStyle="1" w:styleId="HeaderChar">
    <w:name w:val="Header Char"/>
    <w:basedOn w:val="DefaultParagraphFont"/>
    <w:link w:val="Header"/>
    <w:uiPriority w:val="99"/>
    <w:rsid w:val="00D427AF"/>
  </w:style>
  <w:style w:type="paragraph" w:styleId="Footer">
    <w:name w:val="footer"/>
    <w:basedOn w:val="Normal"/>
    <w:link w:val="FooterChar"/>
    <w:uiPriority w:val="99"/>
    <w:unhideWhenUsed/>
    <w:rsid w:val="00D427AF"/>
    <w:pPr>
      <w:tabs>
        <w:tab w:val="center" w:pos="4513"/>
        <w:tab w:val="right" w:pos="9026"/>
      </w:tabs>
    </w:pPr>
  </w:style>
  <w:style w:type="character" w:customStyle="1" w:styleId="FooterChar">
    <w:name w:val="Footer Char"/>
    <w:basedOn w:val="DefaultParagraphFont"/>
    <w:link w:val="Footer"/>
    <w:uiPriority w:val="99"/>
    <w:rsid w:val="00D427AF"/>
  </w:style>
  <w:style w:type="table" w:styleId="TableGrid">
    <w:name w:val="Table Grid"/>
    <w:basedOn w:val="TableNormal"/>
    <w:uiPriority w:val="39"/>
    <w:rsid w:val="004A29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66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image" Target="media/9e5e33ab0e2dc2e48d5a1e647ffef6cafcf7b9c5.png"/>
<Relationship Id="rId16" Type="http://schemas.openxmlformats.org/officeDocument/2006/relationships/image" Target="media/bb6360e0456448d640219025b0cc51f0f21237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29</cp:revision>
  <dcterms:created xsi:type="dcterms:W3CDTF">2025-10-01T16:57:00Z</dcterms:created>
  <dcterms:modified xsi:type="dcterms:W3CDTF">2025-10-31T13:27:02Z</dcterms:modified>
</cp:coreProperties>
</file>