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97529" w14:textId="226976EE" w:rsidR="00C47B8A" w:rsidRPr="0089270D" w:rsidRDefault="00C47B8A" w:rsidP="00E33F62">
      <w:pPr>
        <w:rPr>
          <w:color w:val="A8222D"/>
        </w:rPr>
      </w:pPr>
    </w:p>
    <w:tbl xmlns:a="http://schemas.openxmlformats.org/drawingml/2006/main" xmlns:pic="http://schemas.openxmlformats.org/drawingml/2006/picture">
      <w:tblPr>
        <w:tblLayout w:type="fixed"/>
        <w:jc w:val="center"/>
        <w:tblLook w:firstRow="1" w:lastRow="0" w:firstColumn="0" w:lastColumn="0" w:noHBand="0" w:noVBand="1"/>
      </w:tblPr>
      <w:tblGrid>
        <w:gridCol w:w="10512"/>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D9D9D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true"/>
                <w:u w:val="none"/>
                <w:sz w:val="24"/>
                <w:szCs w:val="24"/>
                <w:color w:val="000000"/>
              </w:rPr>
            </w:pPr>
            <w:r>
              <w:rPr>
                <w:rFonts w:ascii="Helvetica" w:hAnsi="Helvetica" w:eastAsia="Helvetica" w:cs="Helvetica"/>
                <w:i w:val="false"/>
                <w:b w:val="true"/>
                <w:u w:val="none"/>
                <w:sz w:val="24"/>
                <w:szCs w:val="24"/>
                <w:color w:val="000000"/>
              </w:rPr>
              <w:t xml:space="preserve">Contexte</w:t>
            </w:r>
          </w:p>
        </w:tc>
      </w:tr>
    </w:tbl>
    <w:p>
      <w:pPr>
        <w:pStyle w:val="Normal"/>
      </w:pPr>
      <w:r>
        <w:t xml:space="preserve">L'utilisation nocive de l'alcool est un facteur de risque majeur pour les maladies non transmissibles (MNT), notamment la cirrhose du foie, certains cancers, les maladies cardiovasculaires et les troubles de santé mentale, l'Organisation mondiale de la santé (OMS) estimant que 5,1 % du fardeau total de la maladie et des blessures est attribuable à la consommation d'alcool dans le monde. Au Liban, où 18,8 % de la population consomme de l'alcool, la prévalence de la consommation excessive épisodique est de 12,6 %, et les décès attribuables à l'alcool représentent 3,4 % de tous les décès. Cela contribue également aux blessures et à la violence, ce qui impose une charge importante sur les systèmes de santé et la société, en particulier au Liban où le taux de mortalité standardisé par âge dû aux troubles liés à l'utilisation de l'alcool est de 14,8 pour 100 000 personnes. La réduction de l'utilisation nocive de l'alcool est un objectif clé dans les stratégies mondiales de lutte contre les MNT et les Objectifs de développement durable (ODD), le Liban visant à réduire son fardeau de MNT de 25 % d'ici 2025, et la consommation d'alcool étant un contributeur majeur à cet objectif.</w:t>
      </w:r>
    </w:p>
    <w:p>
      <w:pPr>
        <w:pStyle w:val="Normal"/>
      </w:pPr>
      <w:r>
        <w:t xml:space="preserve">
</w:t>
      </w:r>
    </w:p>
    <w:tbl xmlns:a="http://schemas.openxmlformats.org/drawingml/2006/main" xmlns:pic="http://schemas.openxmlformats.org/drawingml/2006/picture">
      <w:tblPr>
        <w:tblLayout w:type="fixed"/>
        <w:jc w:val="center"/>
        <w:tblLook w:firstRow="1" w:lastRow="0" w:firstColumn="0" w:lastColumn="0" w:noHBand="0" w:noVBand="1"/>
      </w:tblPr>
      <w:tblGrid>
        <w:gridCol w:w="10512"/>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D9D9D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true"/>
                <w:u w:val="none"/>
                <w:sz w:val="24"/>
                <w:szCs w:val="24"/>
                <w:color w:val="000000"/>
              </w:rPr>
            </w:pPr>
            <w:r>
              <w:rPr>
                <w:rFonts w:ascii="Helvetica" w:hAnsi="Helvetica" w:eastAsia="Helvetica" w:cs="Helvetica"/>
                <w:i w:val="false"/>
                <w:b w:val="true"/>
                <w:u w:val="none"/>
                <w:sz w:val="24"/>
                <w:szCs w:val="24"/>
                <w:color w:val="000000"/>
              </w:rPr>
              <w:t xml:space="preserve">Résultats</w:t>
            </w:r>
          </w:p>
        </w:tc>
      </w:tr>
    </w:tbl>
    <w:p>
      <w:pPr>
        <w:pStyle w:val="bullet"/>
      </w:pPr>
      <w:r>
        <w:rPr>
          <w:rFonts w:ascii="Arial" w:hAnsi="Arial" w:eastAsia="Arial" w:cs="Arial"/>
          <w:i w:val="false"/>
          <w:b w:val="true"/>
          <w:u w:val="none"/>
          <w:sz w:val="20"/>
          <w:szCs w:val="20"/>
          <w:color w:val="000000"/>
        </w:rPr>
        <w:t xml:space="preserve">Utilisateurs actuels et Abstentionnistes</w:t>
      </w:r>
      <w:r>
        <w:rPr>
          <w:rFonts w:ascii="Arial" w:hAnsi="Arial" w:eastAsia="Arial" w:cs="Arial"/>
          <w:i w:val="false"/>
          <w:b w:val="true"/>
          <w:u w:val="none"/>
          <w:sz w:val="20"/>
          <w:szCs w:val="20"/>
          <w:color w:val="000000"/>
        </w:rPr>
        <w:t xml:space="preserve">: </w:t>
      </w:r>
      <w:r>
        <w:t xml:space="preserve">Les données sur la consommation d'alcool au Liban montrent des tendances intéressantes. La proportion de buveurs actuels a augmenté de 1 point de pourcentage entre 2024 et 2025, passant de 21 % à 22 %. Une augmentation significative a été observée chez les hommes qui ont bu 5-6 jours par semaine, avec un changement de 3 points de pourcentage (p = 0,0343). Les femmes qui ont bu 5-6 jours par semaine ont en revanche diminué de 1 point de pourcentage, avec un changement significatif (p = 0,0052). Les hommes qui n'ont pas bu du tout ont diminué de 6 points de pourcentage (p = 0,0288), tandis que les femmes qui ont bu 0 jour par semaine ont augmenté, mais sans atteindre le seuil de significativité. Les 18-29 ans qui ont bu 3-4 jours par semaine ont connu une augmentation significative de 8 points de pourcentage (p = 0,0264). Les résultats mettent en évidence des changements dans les habitudes de consommation d'alcool au Liban, avec des différences notables entre les sexes et les tranches d'âge.</w:t>
      </w:r>
    </w:p>
    <w:p>
      <w:pPr>
        <w:pStyle w:val="bullet"/>
      </w:pPr>
      <w:r>
        <w:rPr>
          <w:rFonts w:ascii="Arial" w:hAnsi="Arial" w:eastAsia="Arial" w:cs="Arial"/>
          <w:i w:val="false"/>
          <w:b w:val="true"/>
          <w:u w:val="none"/>
          <w:sz w:val="20"/>
          <w:szCs w:val="20"/>
          <w:color w:val="000000"/>
        </w:rPr>
        <w:t xml:space="preserve">Boire de manière épisodique excessive</w:t>
      </w:r>
      <w:r>
        <w:rPr>
          <w:rFonts w:ascii="Arial" w:hAnsi="Arial" w:eastAsia="Arial" w:cs="Arial"/>
          <w:i w:val="false"/>
          <w:b w:val="true"/>
          <w:u w:val="none"/>
          <w:sz w:val="20"/>
          <w:szCs w:val="20"/>
          <w:color w:val="000000"/>
        </w:rPr>
        <w:t xml:space="preserve">: </w:t>
      </w:r>
      <w:r>
        <w:t xml:space="preserve">La consommation d'alcool au Liban présente certaines tendances notables. La proportion de la population ayant consommé six boissons ou plus à une occasion au moins une fois au cours des 30 derniers jours est restée stable à 9 % entre 2024 et 2025. Cependant, une augmentation significative de 2 % a été observée chez les personnes âgées de 60 à 69 ans, passant de 1 % à 3 % (p = 0,0228). En revanche, la fréquence moyenne de consommation de six boissons ou plus en une seule occasion a augmenté de 1 fois en 2024 à 2 fois en 2025 chez les femmes âgées de 45 à 69 ans, mais cette augmentation n'a pas été statistiquement significative en raison de l'absence de valeur p. Les hommes et les femmes dans d'autres tranches d'âge n'ont pas présenté de changements significatifs dans leur consommation d'alcool.</w:t>
      </w:r>
    </w:p>
    <w:p>
      <w:pPr/>
      <w:r>
        <w:br w:type="page"/>
      </w:r>
    </w:p>
    <w:tbl xmlns:a="http://schemas.openxmlformats.org/drawingml/2006/main" xmlns:pic="http://schemas.openxmlformats.org/drawingml/2006/picture">
      <w:tblPr>
        <w:tblLayout w:type="fixed"/>
        <w:jc w:val="center"/>
        <w:tblLook w:firstRow="1" w:lastRow="0" w:firstColumn="0" w:lastColumn="0" w:noHBand="0" w:noVBand="1"/>
      </w:tblPr>
      <w:tblGrid>
        <w:gridCol w:w="10512"/>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D9D9D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rPr>
                <w:rFonts w:ascii="Helvetica" w:hAnsi="Helvetica" w:eastAsia="Helvetica" w:cs="Helvetica"/>
                <w:i w:val="false"/>
                <w:b w:val="true"/>
                <w:u w:val="none"/>
                <w:sz w:val="24"/>
                <w:szCs w:val="24"/>
                <w:color w:val="000000"/>
              </w:rPr>
            </w:pPr>
            <w:r>
              <w:rPr>
                <w:rFonts w:ascii="Helvetica" w:hAnsi="Helvetica" w:eastAsia="Helvetica" w:cs="Helvetica"/>
                <w:i w:val="false"/>
                <w:b w:val="true"/>
                <w:u w:val="none"/>
                <w:sz w:val="24"/>
                <w:szCs w:val="24"/>
                <w:color w:val="000000"/>
              </w:rPr>
              <w:t xml:space="preserve">Graphiques</w:t>
            </w:r>
          </w:p>
        </w:tc>
      </w:tr>
    </w:tbl>
    <w:p>
      <w:pPr>
        <w:pStyle w:val="Normal"/>
      </w:pPr>
      <w:r>
        <w:rPr/>
        <w:drawing>
          <wp:inline distT="0" distB="0" distL="0" distR="0">
            <wp:extent cx="6629400" cy="41148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5"/>
                    <a:stretch>
                      <a:fillRect/>
                    </a:stretch>
                  </pic:blipFill>
                  <pic:spPr bwMode="auto">
                    <a:xfrm>
                      <a:off x="0" y="0"/>
                      <a:ext cx="92075" cy="57150"/>
                    </a:xfrm>
                    <a:prstGeom prst="rect">
                      <a:avLst/>
                    </a:prstGeom>
                    <a:noFill/>
                  </pic:spPr>
                </pic:pic>
              </a:graphicData>
            </a:graphic>
          </wp:inline>
        </w:drawing>
      </w:r>
    </w:p>
    <w:p>
      <w:pPr>
        <w:pStyle w:val="Normal"/>
      </w:pPr>
      <w:r>
        <w:rPr/>
        <w:drawing>
          <wp:inline distT="0" distB="0" distL="0" distR="0">
            <wp:extent cx="6629400" cy="4114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6"/>
                    <a:stretch>
                      <a:fillRect/>
                    </a:stretch>
                  </pic:blipFill>
                  <pic:spPr bwMode="auto">
                    <a:xfrm>
                      <a:off x="0" y="0"/>
                      <a:ext cx="92075" cy="57150"/>
                    </a:xfrm>
                    <a:prstGeom prst="rect">
                      <a:avLst/>
                    </a:prstGeom>
                    <a:noFill/>
                  </pic:spPr>
                </pic:pic>
              </a:graphicData>
            </a:graphic>
          </wp:inline>
        </w:drawing>
      </w:r>
    </w:p>
    <w:sectPr w:rsidR="00C47B8A" w:rsidRPr="0089270D" w:rsidSect="00680F46">
      <w:headerReference w:type="even" r:id="rId7"/>
      <w:headerReference w:type="default" r:id="rId8"/>
      <w:footerReference w:type="even" r:id="rId9"/>
      <w:footerReference w:type="default" r:id="rId10"/>
      <w:headerReference w:type="first" r:id="rId11"/>
      <w:footerReference w:type="first" r:id="rId12"/>
      <w:pgSz w:w="11906" w:h="16838"/>
      <w:pgMar w:top="1440" w:right="737" w:bottom="1440" w:left="737" w:header="680"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0EAE9" w14:textId="77777777" w:rsidR="00D5084D" w:rsidRDefault="00D5084D" w:rsidP="00D427AF">
      <w:r>
        <w:separator/>
      </w:r>
    </w:p>
  </w:endnote>
  <w:endnote w:type="continuationSeparator" w:id="0">
    <w:p w14:paraId="44B678EE" w14:textId="77777777" w:rsidR="00D5084D" w:rsidRDefault="00D5084D" w:rsidP="00D42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0982265"/>
      <w:docPartObj>
        <w:docPartGallery w:val="Page Numbers (Bottom of Page)"/>
        <w:docPartUnique/>
      </w:docPartObj>
    </w:sdtPr>
    <w:sdtContent>
      <w:p w14:paraId="7ACB4BD3" w14:textId="0CD44354" w:rsidR="00966848" w:rsidRDefault="00966848" w:rsidP="00E81E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F2093" w14:textId="77777777" w:rsidR="00946C5B" w:rsidRDefault="00946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2989871"/>
      <w:docPartObj>
        <w:docPartGallery w:val="Page Numbers (Bottom of Page)"/>
        <w:docPartUnique/>
      </w:docPartObj>
    </w:sdtPr>
    <w:sdtContent>
      <w:p w14:paraId="6F4B1C03" w14:textId="7C9A7139" w:rsidR="00966848" w:rsidRDefault="00966848" w:rsidP="00E81E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DFE05E" w14:textId="77777777" w:rsidR="00946C5B" w:rsidRDefault="00946C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5171" w14:textId="77777777" w:rsidR="00946C5B" w:rsidRDefault="00946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8DEC6" w14:textId="77777777" w:rsidR="00D5084D" w:rsidRDefault="00D5084D" w:rsidP="00D427AF">
      <w:r>
        <w:separator/>
      </w:r>
    </w:p>
  </w:footnote>
  <w:footnote w:type="continuationSeparator" w:id="0">
    <w:p w14:paraId="11C6AB86" w14:textId="77777777" w:rsidR="00D5084D" w:rsidRDefault="00D5084D" w:rsidP="00D427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92DF" w14:textId="77777777" w:rsidR="00946C5B" w:rsidRDefault="00946C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862F1" w14:textId="55214F40" w:rsidR="00D427AF" w:rsidRDefault="004C56AA" w:rsidP="00AD077D">
    <w:pPr>
      <w:pStyle w:val="Header"/>
      <w:jc w:val="center"/>
    </w:pPr>
    <w:r>
      <w:rPr>
        <w:noProof/>
      </w:rPr>
      <mc:AlternateContent>
        <mc:Choice Requires="wps">
          <w:drawing>
            <wp:anchor distT="0" distB="0" distL="114300" distR="114300" simplePos="0" relativeHeight="251659264" behindDoc="0" locked="0" layoutInCell="1" allowOverlap="1" wp14:anchorId="79EA2CC7" wp14:editId="6F4758ED">
              <wp:simplePos x="0" y="0"/>
              <wp:positionH relativeFrom="column">
                <wp:posOffset>-467995</wp:posOffset>
              </wp:positionH>
              <wp:positionV relativeFrom="paragraph">
                <wp:posOffset>-417195</wp:posOffset>
              </wp:positionV>
              <wp:extent cx="7550590" cy="860080"/>
              <wp:effectExtent l="0" t="0" r="6350" b="3810"/>
              <wp:wrapNone/>
              <wp:docPr id="2140200295" name="Rectangle 1"/>
              <wp:cNvGraphicFramePr/>
              <a:graphic xmlns:a="http://schemas.openxmlformats.org/drawingml/2006/main">
                <a:graphicData uri="http://schemas.microsoft.com/office/word/2010/wordprocessingShape">
                  <wps:wsp>
                    <wps:cNvSpPr/>
                    <wps:spPr>
                      <a:xfrm>
                        <a:off x="0" y="0"/>
                        <a:ext cx="7550590" cy="860080"/>
                      </a:xfrm>
                      <a:prstGeom prst="rect">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41F2C1" w14:textId="2246D095" w:rsidR="00056202" w:rsidRDefault="00056202" w:rsidP="00056202">
                          <w:pPr>
                            <w:jc w:val="center"/>
                            <w:rPr>
                              <w:sz w:val="36"/>
                              <w:szCs w:val="36"/>
                            </w:rPr>
                          </w:pPr>
                          <w:bookmarkStart w:id="0" w:name="header"/>
                          <w:r w:rsidRPr="00E04BC0">
                            <w:rPr>
                              <w:sz w:val="36"/>
                              <w:szCs w:val="36"/>
                            </w:rPr>
                            <w:t>Fiche de comparaison : Liban 2024 &amp; 2025</w:t>
                          </w:r>
                          <w:bookmarkEnd w:id="0"/>
                        </w:p>
                        <w:p w14:paraId="6397170D" w14:textId="1E8072A6" w:rsidR="00902713" w:rsidRPr="00E04BC0" w:rsidRDefault="00902713" w:rsidP="00056202">
                          <w:pPr>
                            <w:jc w:val="center"/>
                            <w:rPr>
                              <w:sz w:val="36"/>
                              <w:szCs w:val="36"/>
                            </w:rPr>
                          </w:pPr>
                          <w:bookmarkStart w:id="1" w:name="header2"/>
                          <w:r>
                            <w:rPr>
                              <w:sz w:val="36"/>
                              <w:szCs w:val="36"/>
                            </w:rPr>
                            <w:t>Consommation d'alcool</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EA2CC7" id="Rectangle 1" o:spid="_x0000_s1026" style="position:absolute;left:0;text-align:left;margin-left:-36.85pt;margin-top:-32.85pt;width:594.55pt;height:67.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" fillcolor="#2f5496 [2404]" stroked="f" strokeweight="1pt">
              <v:textbox>
                <w:txbxContent>
                  <w:p w14:paraId="4C41F2C1" w14:textId="2246D095" w:rsidR="00056202" w:rsidRDefault="00056202" w:rsidP="00056202">
                    <w:pPr>
                      <w:jc w:val="center"/>
                      <w:rPr>
                        <w:sz w:val="36"/>
                        <w:szCs w:val="36"/>
                      </w:rPr>
                    </w:pPr>
                    <w:bookmarkStart w:id="2" w:name="header"/>
                    <w:r w:rsidRPr="00E04BC0">
                      <w:rPr>
                        <w:sz w:val="36"/>
                        <w:szCs w:val="36"/>
                      </w:rPr>
                      <w:t>header</w:t>
                    </w:r>
                    <w:bookmarkEnd w:id="2"/>
                  </w:p>
                  <w:p w14:paraId="6397170D" w14:textId="1E8072A6" w:rsidR="00902713" w:rsidRPr="00E04BC0" w:rsidRDefault="00902713" w:rsidP="00056202">
                    <w:pPr>
                      <w:jc w:val="center"/>
                      <w:rPr>
                        <w:sz w:val="36"/>
                        <w:szCs w:val="36"/>
                      </w:rPr>
                    </w:pPr>
                    <w:bookmarkStart w:id="3" w:name="header2"/>
                    <w:r>
                      <w:rPr>
                        <w:sz w:val="36"/>
                        <w:szCs w:val="36"/>
                      </w:rPr>
                      <w:t>header2</w:t>
                    </w:r>
                    <w:bookmarkEnd w:id="3"/>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358BE" w14:textId="77777777" w:rsidR="00946C5B" w:rsidRDefault="00946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7A635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802AE9"/>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A13503B"/>
    <w:multiLevelType w:val="hybridMultilevel"/>
    <w:tmpl w:val="C0389990"/>
    <w:lvl w:ilvl="0" w:tplc="71E4AF42">
      <w:start w:val="1"/>
      <w:numFmt w:val="bullet"/>
      <w:pStyle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D3810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754354197">
    <w:abstractNumId w:val="2"/>
  </w:num>
  <w:num w:numId="2" w16cid:durableId="385421868">
    <w:abstractNumId w:val="0"/>
  </w:num>
  <w:num w:numId="3" w16cid:durableId="382798034">
    <w:abstractNumId w:val="1"/>
  </w:num>
  <w:num w:numId="4" w16cid:durableId="1191411409">
    <w:abstractNumId w:val="3"/>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F66"/>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1C2CFB"/>
    <w:pPr>
      <w:spacing w:after="100"/>
      <w:contextualSpacing/>
    </w:pPr>
    <w:rPr>
      <w:rFonts w:ascii="Gill Sans MT" w:hAnsi="Gill Sans MT"/>
      <w:sz w:val="22"/>
      <w:szCs w:val="22"/>
      <w:lang w:val="en-US"/>
    </w:rPr>
  </w:style>
  <w:style w:type="paragraph" w:styleId="ListParagraph">
    <w:name w:val="List Paragraph"/>
    <w:basedOn w:val="Normal"/>
    <w:uiPriority w:val="34"/>
    <w:qFormat/>
    <w:rsid w:val="00C47B8A"/>
    <w:pPr>
      <w:ind w:left="720"/>
      <w:contextualSpacing/>
    </w:pPr>
  </w:style>
  <w:style w:type="paragraph" w:customStyle="1" w:styleId="bullet">
    <w:name w:val="bullet"/>
    <w:basedOn w:val="ListParagraph"/>
    <w:autoRedefine/>
    <w:qFormat/>
    <w:rsid w:val="002A555B"/>
    <w:pPr>
      <w:numPr>
        <w:numId w:val="1"/>
      </w:numPr>
      <w:ind w:left="357" w:hanging="357"/>
    </w:pPr>
  </w:style>
  <w:style w:type="numbering" w:customStyle="1" w:styleId="CurrentList1">
    <w:name w:val="Current List1"/>
    <w:uiPriority w:val="99"/>
    <w:rsid w:val="009F33A2"/>
    <w:pPr>
      <w:numPr>
        <w:numId w:val="3"/>
      </w:numPr>
    </w:pPr>
  </w:style>
  <w:style w:type="paragraph" w:styleId="Header">
    <w:name w:val="header"/>
    <w:basedOn w:val="Normal"/>
    <w:link w:val="HeaderChar"/>
    <w:uiPriority w:val="99"/>
    <w:unhideWhenUsed/>
    <w:rsid w:val="00D427AF"/>
    <w:pPr>
      <w:tabs>
        <w:tab w:val="center" w:pos="4513"/>
        <w:tab w:val="right" w:pos="9026"/>
      </w:tabs>
    </w:pPr>
  </w:style>
  <w:style w:type="character" w:customStyle="1" w:styleId="HeaderChar">
    <w:name w:val="Header Char"/>
    <w:basedOn w:val="DefaultParagraphFont"/>
    <w:link w:val="Header"/>
    <w:uiPriority w:val="99"/>
    <w:rsid w:val="00D427AF"/>
  </w:style>
  <w:style w:type="paragraph" w:styleId="Footer">
    <w:name w:val="footer"/>
    <w:basedOn w:val="Normal"/>
    <w:link w:val="FooterChar"/>
    <w:uiPriority w:val="99"/>
    <w:unhideWhenUsed/>
    <w:rsid w:val="00D427AF"/>
    <w:pPr>
      <w:tabs>
        <w:tab w:val="center" w:pos="4513"/>
        <w:tab w:val="right" w:pos="9026"/>
      </w:tabs>
    </w:pPr>
  </w:style>
  <w:style w:type="character" w:customStyle="1" w:styleId="FooterChar">
    <w:name w:val="Footer Char"/>
    <w:basedOn w:val="DefaultParagraphFont"/>
    <w:link w:val="Footer"/>
    <w:uiPriority w:val="99"/>
    <w:rsid w:val="00D427AF"/>
  </w:style>
  <w:style w:type="table" w:styleId="TableGrid">
    <w:name w:val="Table Grid"/>
    <w:basedOn w:val="TableNormal"/>
    <w:uiPriority w:val="39"/>
    <w:rsid w:val="004A29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966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
<Relationship Id="rId8" Type="http://schemas.openxmlformats.org/officeDocument/2006/relationships/header" Target="header2.xml"/>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header" Target="header1.xml"/>
<Relationship Id="rId12" Type="http://schemas.openxmlformats.org/officeDocument/2006/relationships/footer" Target="footer3.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5" Type="http://schemas.openxmlformats.org/officeDocument/2006/relationships/footnotes" Target="footnotes.xml"/>
<Relationship Id="rId10"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theme" Target="theme/theme1.xml"/>
<Relationship Id="rId15" Type="http://schemas.openxmlformats.org/officeDocument/2006/relationships/image" Target="media/919bb88127cb752c665033494f32ce41fbb505c9.png"/>
<Relationship Id="rId16" Type="http://schemas.openxmlformats.org/officeDocument/2006/relationships/image" Target="media/6133e26740cf27527f43c7257264c4ff8ab2ccf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Lucas  Malla</dc:creator>
  <cp:keywords/>
  <dc:description/>
  <cp:lastModifiedBy>lucasmalla</cp:lastModifiedBy>
  <cp:revision>29</cp:revision>
  <dcterms:created xsi:type="dcterms:W3CDTF">2025-10-01T16:57:00Z</dcterms:created>
  <dcterms:modified xsi:type="dcterms:W3CDTF">2025-10-31T13:26:00Z</dcterms:modified>
</cp:coreProperties>
</file>