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7529" w14:textId="226976EE" w:rsidR="00C47B8A" w:rsidRPr="0089270D" w:rsidRDefault="00C47B8A" w:rsidP="00E33F62">
      <w:pPr>
        <w:rPr>
          <w:color w:val="A8222D"/>
        </w:rPr>
      </w:pP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Contexte</w:t>
            </w:r>
          </w:p>
        </w:tc>
      </w:tr>
    </w:tbl>
    <w:p>
      <w:pPr>
        <w:pStyle w:val="Normal"/>
      </w:pPr>
      <w:r>
        <w:t xml:space="preserve">L'hyperglycémie et le diabète sont parmi les facteurs de risque et les affections les plus graves des maladies non transmissibles dans le monde, la prévalence du diabète au Liban étant d'environ 14,7 %, ce qui est supérieur à la moyenne mondiale. L'hyperglycémie persistante peut entraîner des complications, notamment des maladies cardiovasculaires, une insuffisance rénale, une perte de vision et une amputation des membres inférieurs, et il est estimé que 12,8 % de tous les décès au Liban sont attribuables au diabète. Le diabète de type 2, la forme la plus courante, est en grande partie évitable grâce à une alimentation saine et à une activité physique, mais seulement 22,5 % de la population libanaise pratique une activité physique régulière. La détection précoce et la prise en charge sont essentielles pour réduire les complications à long terme et la charge de soins de santé, considérant que le coût total annuel du diabète au Liban est d'environ 313 millions de dollars, ce qui représente environ 4,6 % du total des dépenses de santé du pays.</w:t>
      </w:r>
    </w:p>
    <w:p>
      <w:pPr>
        <w:pStyle w:val="Normal"/>
      </w:pPr>
      <w:r>
        <w:t xml:space="preserve">
</w:t>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Résultats</w:t>
            </w:r>
          </w:p>
        </w:tc>
      </w:tr>
    </w:tbl>
    <w:p>
      <w:pPr>
        <w:pStyle w:val="bullet"/>
      </w:pPr>
      <w:r>
        <w:rPr>
          <w:rFonts w:ascii="Arial" w:hAnsi="Arial" w:eastAsia="Arial" w:cs="Arial"/>
          <w:i w:val="false"/>
          <w:b w:val="true"/>
          <w:u w:val="none"/>
          <w:sz w:val="20"/>
          <w:szCs w:val="20"/>
          <w:color w:val="000000"/>
        </w:rPr>
        <w:t xml:space="preserve">Moyenne et prévalence d'une glycémie élevée/diabète</w:t>
      </w:r>
      <w:r>
        <w:rPr>
          <w:rFonts w:ascii="Arial" w:hAnsi="Arial" w:eastAsia="Arial" w:cs="Arial"/>
          <w:i w:val="false"/>
          <w:b w:val="true"/>
          <w:u w:val="none"/>
          <w:sz w:val="20"/>
          <w:szCs w:val="20"/>
          <w:color w:val="000000"/>
        </w:rPr>
        <w:t xml:space="preserve">: </w:t>
      </w:r>
      <w:r>
        <w:t xml:space="preserve">Les données sur le diabète et l'hyperglycémie au Liban montrent que la glycémie à jeun moyenne est restée stable entre 2024 et 2025, avec une moyenne de 83 mg/dl pour l'ensemble de la population. Les hommes ont enregistré une glycémie à jeun moyenne de 80 mg/dl, tandis que les femmes ont affiché une moyenne de 87 mg/dl, sans changement significatif entre les deux années. Une augmentation significative de la prévalence du diabète ou de l'hyperglycémie a été observée chez les hommes, passant de 2 % à 3 % (p = 0,0251).</w:t>
      </w:r>
    </w:p>
    <w:p>
      <w:pPr>
        <w:pStyle w:val="bullet"/>
      </w:pPr>
      <w:r>
        <w:rPr>
          <w:rFonts w:ascii="Arial" w:hAnsi="Arial" w:eastAsia="Arial" w:cs="Arial"/>
          <w:i w:val="false"/>
          <w:b w:val="true"/>
          <w:u w:val="none"/>
          <w:sz w:val="20"/>
          <w:szCs w:val="20"/>
          <w:color w:val="000000"/>
        </w:rPr>
        <w:t xml:space="preserve">Diagnostique</w:t>
      </w:r>
      <w:r>
        <w:rPr>
          <w:rFonts w:ascii="Arial" w:hAnsi="Arial" w:eastAsia="Arial" w:cs="Arial"/>
          <w:i w:val="false"/>
          <w:b w:val="true"/>
          <w:u w:val="none"/>
          <w:sz w:val="20"/>
          <w:szCs w:val="20"/>
          <w:color w:val="000000"/>
        </w:rPr>
        <w:t xml:space="preserve">: </w:t>
      </w:r>
      <w:r>
        <w:t xml:space="preserve">Au Liban, les taux de diabète chez les personnes ayant des niveaux élevés de glucose sanguin ou prenant des médicaments ont légèrement augmenté, passant de 46 en 2024 à 48 en 2025, mais cette variation n'est pas significative (p = 0,7095). Les hommes ont enregistré une augmentation de 4 points, de 49 à 53, tandis que les femmes ont vu leur taux diminuer légèrement, de 45 à 44, mais aucune de ces variations n'est significative. La seule variation proche de la significativité a été observée chez les 30-44 ans, avec une augmentation de 13 points, de 20 à 33, mais le p-valeur reste légèrement au-dessus du seuil de significativité à 0,0624.</w:t>
      </w:r>
    </w:p>
    <w:p>
      <w:pPr>
        <w:pStyle w:val="bullet"/>
      </w:pPr>
      <w:r>
        <w:rPr>
          <w:rFonts w:ascii="Arial" w:hAnsi="Arial" w:eastAsia="Arial" w:cs="Arial"/>
          <w:i w:val="false"/>
          <w:b w:val="true"/>
          <w:u w:val="none"/>
          <w:sz w:val="20"/>
          <w:szCs w:val="20"/>
          <w:color w:val="000000"/>
        </w:rPr>
        <w:t xml:space="preserve">Traitement</w:t>
      </w:r>
      <w:r>
        <w:rPr>
          <w:rFonts w:ascii="Arial" w:hAnsi="Arial" w:eastAsia="Arial" w:cs="Arial"/>
          <w:i w:val="false"/>
          <w:b w:val="true"/>
          <w:u w:val="none"/>
          <w:sz w:val="20"/>
          <w:szCs w:val="20"/>
          <w:color w:val="000000"/>
        </w:rPr>
        <w:t xml:space="preserve">: </w:t>
      </w:r>
      <w:r>
        <w:t xml:space="preserve">Au Liban, le pourcentage de personnes actuellement traitées pour le diabète parmi celles ayant un taux de glycémie élevé ou prenant des médicaments est passé de 38 en 2024 à 40 en 2025, avec une augmentation non significative de 2 points. Les variations selon le sexe et la tranche d'âge ne sont pas non plus significatives, à l'exception d'une augmentation de 13 points chez les 30-44 ans, mais avec un p-value de 0,0528, cette variation reste tout de même non significative. Les résultats montrent une stabilité générale dans les tendances de traitement du diabète au Liban entre 2024 et 2025.</w:t>
      </w:r>
    </w:p>
    <w:p>
      <w:pPr>
        <w:pStyle w:val="bullet"/>
      </w:pPr>
      <w:r>
        <w:rPr>
          <w:rFonts w:ascii="Arial" w:hAnsi="Arial" w:eastAsia="Arial" w:cs="Arial"/>
          <w:i w:val="false"/>
          <w:b w:val="true"/>
          <w:u w:val="none"/>
          <w:sz w:val="20"/>
          <w:szCs w:val="20"/>
          <w:color w:val="000000"/>
        </w:rPr>
        <w:t xml:space="preserve">Contrôle</w:t>
      </w:r>
      <w:r>
        <w:rPr>
          <w:rFonts w:ascii="Arial" w:hAnsi="Arial" w:eastAsia="Arial" w:cs="Arial"/>
          <w:i w:val="false"/>
          <w:b w:val="true"/>
          <w:u w:val="none"/>
          <w:sz w:val="20"/>
          <w:szCs w:val="20"/>
          <w:color w:val="000000"/>
        </w:rPr>
        <w:t xml:space="preserve">: </w:t>
      </w:r>
      <w:r>
        <w:t xml:space="preserve">Le contrôle du diabète chez les personnes ayant un taux de glycémie élevé ou actuellement sous médication a connu une légère baisse, passant de 24 à 22 entre 2024 et 2025, mais ce changement n'est pas significatif (p = 0,6982). Les variations selon le sexe et la tranche d'âge ne montrent pas non plus de changements significatifs, avec des p-values supérieurs à 0,05 pour toutes les catégories. Les résultats sont stables, sans aucune tendance marquée vers l'amélioration ou la détérioration du contrôle du diabète au Liban.</w:t>
      </w:r>
    </w:p>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Graphiques</w:t>
            </w:r>
          </w:p>
        </w:tc>
      </w:tr>
    </w:tbl>
    <w:p>
      <w:pPr>
        <w:pStyle w:val="Normal"/>
      </w:pPr>
      <w:r>
        <w:rPr/>
        <w:drawing>
          <wp:inline distT="0" distB="0" distL="0" distR="0">
            <wp:extent cx="66294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tretch>
                      <a:fillRect/>
                    </a:stretch>
                  </pic:blipFill>
                  <pic:spPr bwMode="auto">
                    <a:xfrm>
                      <a:off x="0" y="0"/>
                      <a:ext cx="92075" cy="57150"/>
                    </a:xfrm>
                    <a:prstGeom prst="rect">
                      <a:avLst/>
                    </a:prstGeom>
                    <a:noFill/>
                  </pic:spPr>
                </pic:pic>
              </a:graphicData>
            </a:graphic>
          </wp:inline>
        </w:drawing>
      </w:r>
    </w:p>
    <w:p>
      <w:pPr>
        <w:pStyle w:val="Normal"/>
      </w:pPr>
      <w:r>
        <w:rPr/>
        <w:drawing>
          <wp:inline distT="0" distB="0" distL="0" distR="0">
            <wp:extent cx="6629400" cy="4114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tretch>
                      <a:fillRect/>
                    </a:stretch>
                  </pic:blipFill>
                  <pic:spPr bwMode="auto">
                    <a:xfrm>
                      <a:off x="0" y="0"/>
                      <a:ext cx="92075" cy="57150"/>
                    </a:xfrm>
                    <a:prstGeom prst="rect">
                      <a:avLst/>
                    </a:prstGeom>
                    <a:noFill/>
                  </pic:spPr>
                </pic:pic>
              </a:graphicData>
            </a:graphic>
          </wp:inline>
        </w:drawing>
      </w:r>
    </w:p>
    <w:p>
      <w:pPr>
        <w:pStyle w:val="Normal"/>
      </w:pPr>
      <w:r>
        <w:rPr/>
        <w:drawing>
          <wp:inline distT="0" distB="0" distL="0" distR="0">
            <wp:extent cx="6629400" cy="41148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tretch>
                      <a:fillRect/>
                    </a:stretch>
                  </pic:blipFill>
                  <pic:spPr bwMode="auto">
                    <a:xfrm>
                      <a:off x="0" y="0"/>
                      <a:ext cx="92075" cy="57150"/>
                    </a:xfrm>
                    <a:prstGeom prst="rect">
                      <a:avLst/>
                    </a:prstGeom>
                    <a:noFill/>
                  </pic:spPr>
                </pic:pic>
              </a:graphicData>
            </a:graphic>
          </wp:inline>
        </w:drawing>
      </w:r>
    </w:p>
    <w:sectPr w:rsidR="00C47B8A" w:rsidRPr="0089270D" w:rsidSect="00680F46">
      <w:headerReference w:type="even" r:id="rId7"/>
      <w:headerReference w:type="default" r:id="rId8"/>
      <w:footerReference w:type="even" r:id="rId9"/>
      <w:footerReference w:type="default" r:id="rId10"/>
      <w:headerReference w:type="first" r:id="rId11"/>
      <w:footerReference w:type="first" r:id="rId12"/>
      <w:pgSz w:w="11906" w:h="16838"/>
      <w:pgMar w:top="1440" w:right="737" w:bottom="1440" w:left="737" w:header="680"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EAE9" w14:textId="77777777" w:rsidR="00D5084D" w:rsidRDefault="00D5084D" w:rsidP="00D427AF">
      <w:r>
        <w:separator/>
      </w:r>
    </w:p>
  </w:endnote>
  <w:endnote w:type="continuationSeparator" w:id="0">
    <w:p w14:paraId="44B678EE" w14:textId="77777777" w:rsidR="00D5084D" w:rsidRDefault="00D5084D" w:rsidP="00D4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982265"/>
      <w:docPartObj>
        <w:docPartGallery w:val="Page Numbers (Bottom of Page)"/>
        <w:docPartUnique/>
      </w:docPartObj>
    </w:sdtPr>
    <w:sdtContent>
      <w:p w14:paraId="7ACB4BD3" w14:textId="0CD44354"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F2093" w14:textId="77777777" w:rsidR="00946C5B" w:rsidRDefault="00946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989871"/>
      <w:docPartObj>
        <w:docPartGallery w:val="Page Numbers (Bottom of Page)"/>
        <w:docPartUnique/>
      </w:docPartObj>
    </w:sdtPr>
    <w:sdtContent>
      <w:p w14:paraId="6F4B1C03" w14:textId="7C9A7139"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FE05E" w14:textId="77777777" w:rsidR="00946C5B" w:rsidRDefault="00946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5171" w14:textId="77777777" w:rsidR="00946C5B" w:rsidRDefault="0094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EC6" w14:textId="77777777" w:rsidR="00D5084D" w:rsidRDefault="00D5084D" w:rsidP="00D427AF">
      <w:r>
        <w:separator/>
      </w:r>
    </w:p>
  </w:footnote>
  <w:footnote w:type="continuationSeparator" w:id="0">
    <w:p w14:paraId="11C6AB86" w14:textId="77777777" w:rsidR="00D5084D" w:rsidRDefault="00D5084D" w:rsidP="00D4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92DF" w14:textId="77777777" w:rsidR="00946C5B" w:rsidRDefault="00946C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62F1" w14:textId="55214F40" w:rsidR="00D427AF" w:rsidRDefault="004C56AA" w:rsidP="00AD077D">
    <w:pPr>
      <w:pStyle w:val="Header"/>
      <w:jc w:val="center"/>
    </w:pPr>
    <w:r>
      <w:rPr>
        <w:noProof/>
      </w:rPr>
      <mc:AlternateContent>
        <mc:Choice Requires="wps">
          <w:drawing>
            <wp:anchor distT="0" distB="0" distL="114300" distR="114300" simplePos="0" relativeHeight="251659264" behindDoc="0" locked="0" layoutInCell="1" allowOverlap="1" wp14:anchorId="79EA2CC7" wp14:editId="6F4758ED">
              <wp:simplePos x="0" y="0"/>
              <wp:positionH relativeFrom="column">
                <wp:posOffset>-467995</wp:posOffset>
              </wp:positionH>
              <wp:positionV relativeFrom="paragraph">
                <wp:posOffset>-417195</wp:posOffset>
              </wp:positionV>
              <wp:extent cx="7550590" cy="860080"/>
              <wp:effectExtent l="0" t="0" r="6350" b="3810"/>
              <wp:wrapNone/>
              <wp:docPr id="2140200295" name="Rectangle 1"/>
              <wp:cNvGraphicFramePr/>
              <a:graphic xmlns:a="http://schemas.openxmlformats.org/drawingml/2006/main">
                <a:graphicData uri="http://schemas.microsoft.com/office/word/2010/wordprocessingShape">
                  <wps:wsp>
                    <wps:cNvSpPr/>
                    <wps:spPr>
                      <a:xfrm>
                        <a:off x="0" y="0"/>
                        <a:ext cx="7550590" cy="86008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41F2C1" w14:textId="2246D095" w:rsidR="00056202" w:rsidRDefault="00056202" w:rsidP="00056202">
                          <w:pPr>
                            <w:jc w:val="center"/>
                            <w:rPr>
                              <w:sz w:val="36"/>
                              <w:szCs w:val="36"/>
                            </w:rPr>
                          </w:pPr>
                          <w:bookmarkStart w:id="0" w:name="header"/>
                          <w:r w:rsidRPr="00E04BC0">
                            <w:rPr>
                              <w:sz w:val="36"/>
                              <w:szCs w:val="36"/>
                            </w:rPr>
                            <w:t>Fiche de comparaison : Liban 2024 &amp; 2025</w:t>
                          </w:r>
                          <w:bookmarkEnd w:id="0"/>
                        </w:p>
                        <w:p w14:paraId="6397170D" w14:textId="1E8072A6" w:rsidR="00902713" w:rsidRPr="00E04BC0" w:rsidRDefault="00902713" w:rsidP="00056202">
                          <w:pPr>
                            <w:jc w:val="center"/>
                            <w:rPr>
                              <w:sz w:val="36"/>
                              <w:szCs w:val="36"/>
                            </w:rPr>
                          </w:pPr>
                          <w:bookmarkStart w:id="1" w:name="header2"/>
                          <w:r>
                            <w:rPr>
                              <w:sz w:val="36"/>
                              <w:szCs w:val="36"/>
                            </w:rPr>
                            <w:t>Diabète ou glycémie élevée</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EA2CC7" id="Rectangle 1" o:spid="_x0000_s1026" style="position:absolute;left:0;text-align:left;margin-left:-36.85pt;margin-top:-32.85pt;width:594.55pt;height:6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" fillcolor="#2f5496 [2404]" stroked="f" strokeweight="1pt">
              <v:textbox>
                <w:txbxContent>
                  <w:p w14:paraId="4C41F2C1" w14:textId="2246D095" w:rsidR="00056202" w:rsidRDefault="00056202" w:rsidP="00056202">
                    <w:pPr>
                      <w:jc w:val="center"/>
                      <w:rPr>
                        <w:sz w:val="36"/>
                        <w:szCs w:val="36"/>
                      </w:rPr>
                    </w:pPr>
                    <w:bookmarkStart w:id="2" w:name="header"/>
                    <w:r w:rsidRPr="00E04BC0">
                      <w:rPr>
                        <w:sz w:val="36"/>
                        <w:szCs w:val="36"/>
                      </w:rPr>
                      <w:t>header</w:t>
                    </w:r>
                    <w:bookmarkEnd w:id="2"/>
                  </w:p>
                  <w:p w14:paraId="6397170D" w14:textId="1E8072A6" w:rsidR="00902713" w:rsidRPr="00E04BC0" w:rsidRDefault="00902713" w:rsidP="00056202">
                    <w:pPr>
                      <w:jc w:val="center"/>
                      <w:rPr>
                        <w:sz w:val="36"/>
                        <w:szCs w:val="36"/>
                      </w:rPr>
                    </w:pPr>
                    <w:bookmarkStart w:id="3" w:name="header2"/>
                    <w:r>
                      <w:rPr>
                        <w:sz w:val="36"/>
                        <w:szCs w:val="36"/>
                      </w:rPr>
                      <w:t>header2</w:t>
                    </w:r>
                    <w:bookmarkEnd w:id="3"/>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58BE" w14:textId="77777777" w:rsidR="00946C5B" w:rsidRDefault="00946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7A63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02AE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13503B"/>
    <w:multiLevelType w:val="hybridMultilevel"/>
    <w:tmpl w:val="C0389990"/>
    <w:lvl w:ilvl="0" w:tplc="71E4AF42">
      <w:start w:val="1"/>
      <w:numFmt w:val="bullet"/>
      <w:pStyle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D3810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4354197">
    <w:abstractNumId w:val="2"/>
  </w:num>
  <w:num w:numId="2" w16cid:durableId="385421868">
    <w:abstractNumId w:val="0"/>
  </w:num>
  <w:num w:numId="3" w16cid:durableId="382798034">
    <w:abstractNumId w:val="1"/>
  </w:num>
  <w:num w:numId="4" w16cid:durableId="1191411409">
    <w:abstractNumId w:val="3"/>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66"/>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ListParagraph">
    <w:name w:val="List Paragraph"/>
    <w:basedOn w:val="Normal"/>
    <w:uiPriority w:val="34"/>
    <w:qFormat/>
    <w:rsid w:val="00C47B8A"/>
    <w:pPr>
      <w:ind w:left="720"/>
      <w:contextualSpacing/>
    </w:pPr>
  </w:style>
  <w:style w:type="paragraph" w:customStyle="1" w:styleId="bullet">
    <w:name w:val="bullet"/>
    <w:basedOn w:val="ListParagraph"/>
    <w:autoRedefine/>
    <w:qFormat/>
    <w:rsid w:val="002A555B"/>
    <w:pPr>
      <w:numPr>
        <w:numId w:val="1"/>
      </w:numPr>
      <w:ind w:left="357" w:hanging="357"/>
    </w:pPr>
  </w:style>
  <w:style w:type="numbering" w:customStyle="1" w:styleId="CurrentList1">
    <w:name w:val="Current List1"/>
    <w:uiPriority w:val="99"/>
    <w:rsid w:val="009F33A2"/>
    <w:pPr>
      <w:numPr>
        <w:numId w:val="3"/>
      </w:numPr>
    </w:pPr>
  </w:style>
  <w:style w:type="paragraph" w:styleId="Header">
    <w:name w:val="header"/>
    <w:basedOn w:val="Normal"/>
    <w:link w:val="HeaderChar"/>
    <w:uiPriority w:val="99"/>
    <w:unhideWhenUsed/>
    <w:rsid w:val="00D427AF"/>
    <w:pPr>
      <w:tabs>
        <w:tab w:val="center" w:pos="4513"/>
        <w:tab w:val="right" w:pos="9026"/>
      </w:tabs>
    </w:pPr>
  </w:style>
  <w:style w:type="character" w:customStyle="1" w:styleId="HeaderChar">
    <w:name w:val="Header Char"/>
    <w:basedOn w:val="DefaultParagraphFont"/>
    <w:link w:val="Header"/>
    <w:uiPriority w:val="99"/>
    <w:rsid w:val="00D427AF"/>
  </w:style>
  <w:style w:type="paragraph" w:styleId="Footer">
    <w:name w:val="footer"/>
    <w:basedOn w:val="Normal"/>
    <w:link w:val="FooterChar"/>
    <w:uiPriority w:val="99"/>
    <w:unhideWhenUsed/>
    <w:rsid w:val="00D427AF"/>
    <w:pPr>
      <w:tabs>
        <w:tab w:val="center" w:pos="4513"/>
        <w:tab w:val="right" w:pos="9026"/>
      </w:tabs>
    </w:pPr>
  </w:style>
  <w:style w:type="character" w:customStyle="1" w:styleId="FooterChar">
    <w:name w:val="Footer Char"/>
    <w:basedOn w:val="DefaultParagraphFont"/>
    <w:link w:val="Footer"/>
    <w:uiPriority w:val="99"/>
    <w:rsid w:val="00D427AF"/>
  </w:style>
  <w:style w:type="table" w:styleId="TableGrid">
    <w:name w:val="Table Grid"/>
    <w:basedOn w:val="TableNormal"/>
    <w:uiPriority w:val="39"/>
    <w:rsid w:val="004A2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6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image" Target="media/32591aab82eb08cc2eded89369fb50021ff6feb9.png"/>
<Relationship Id="rId16" Type="http://schemas.openxmlformats.org/officeDocument/2006/relationships/image" Target="media/e291c77233017d110c9b96ad5b9bbbcc61e35afd.png"/>
<Relationship Id="rId17" Type="http://schemas.openxmlformats.org/officeDocument/2006/relationships/image" Target="media/337f1df4f02b124a82aa59093aae88ab884025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29</cp:revision>
  <dcterms:created xsi:type="dcterms:W3CDTF">2025-10-01T16:57:00Z</dcterms:created>
  <dcterms:modified xsi:type="dcterms:W3CDTF">2025-10-31T13:28:20Z</dcterms:modified>
</cp:coreProperties>
</file>