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97529" w14:textId="226976EE" w:rsidR="00C47B8A" w:rsidRPr="0089270D" w:rsidRDefault="00C47B8A" w:rsidP="00E33F62">
      <w:pPr>
        <w:rPr>
          <w:color w:val="A8222D"/>
        </w:rPr>
      </w:pP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Contexte</w:t>
            </w:r>
          </w:p>
        </w:tc>
      </w:tr>
    </w:tbl>
    <w:p>
      <w:pPr>
        <w:pStyle w:val="Normal"/>
      </w:pPr>
      <w:r>
        <w:t xml:space="preserve">L'hypertension artérielle, également connue sous le nom d'hypertension, est l'un des facteurs de risque les plus importants pour les maladies cardiovasculaires (MCV), les accidents vasculaires cérébraux et les maladies rénales, avec environ 37,6 % de la population libanaise souffrant d'hypertension, selon l'Organisation mondiale de la santé. À l'échelle mondiale, l'hypertension est responsable d'environ 10 millions de décès par an et est une cause majeure de mortalité prématurée, le ministère libanais de la Santé publique rapportant que les MCV sont la principale cause de décès au Liban, responsable de 32,3 % de tous les décès. Au Liban, la prévalence de l'hypertension est plus élevée chez les adultes âgés, avec 63,4 % des individus âgés de 65 ans et plus souffrant d'hypertension, et le pays a une consommation élevée de sodium, avec une consommation moyenne de 11,3 grammes par jour, dépassant la limite recommandée. Une prévention efficace, une détection précoce et une gestion de l'hypertension sont cruciales pour réduire le fardeau des maladies non transmissibles (MNT), en particulier au Liban où les MNT représentent 83,4 % de tous les décès, et le fardeau économique de l'hypertension est substantiel, avec des coûts annuels estimés à 235 millions de dollars.</w:t>
      </w:r>
    </w:p>
    <w:p>
      <w:pPr>
        <w:pStyle w:val="Normal"/>
      </w:pPr>
      <w:r>
        <w:t xml:space="preserve">
</w:t>
      </w: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Résultats</w:t>
            </w:r>
          </w:p>
        </w:tc>
      </w:tr>
    </w:tbl>
    <w:p>
      <w:pPr>
        <w:pStyle w:val="bullet"/>
      </w:pPr>
      <w:r>
        <w:rPr>
          <w:rFonts w:ascii="Arial" w:hAnsi="Arial" w:eastAsia="Arial" w:cs="Arial"/>
          <w:i w:val="false"/>
          <w:b w:val="true"/>
          <w:u w:val="none"/>
          <w:sz w:val="20"/>
          <w:szCs w:val="20"/>
          <w:color w:val="000000"/>
        </w:rPr>
        <w:t xml:space="preserve">Moyenne et prévalence de l'hypertension</w:t>
      </w:r>
      <w:r>
        <w:rPr>
          <w:rFonts w:ascii="Arial" w:hAnsi="Arial" w:eastAsia="Arial" w:cs="Arial"/>
          <w:i w:val="false"/>
          <w:b w:val="true"/>
          <w:u w:val="none"/>
          <w:sz w:val="20"/>
          <w:szCs w:val="20"/>
          <w:color w:val="000000"/>
        </w:rPr>
        <w:t xml:space="preserve">: </w:t>
      </w:r>
      <w:r>
        <w:t xml:space="preserve">Les données sur l'hypertension au Liban montrent que la pression artérielle systolique moyenne est passée de 121 mmHg en 2024 à 120 mmHg en 2025, tandis que la pression artérielle diastolique moyenne est restée stable à 79 mmHg. Une diminution significative de la prévalence de l'hypertension (SBP ≥160 et/ou DBP ≥ 100 mmHg) a été observée chez les personnes âgées de 60-69 ans, avec une baisse de 6 points de pourcentage (p = 0,0119). Aucun autre changement significatif n'a été constaté dans les autres catégories de stratification.</w:t>
      </w:r>
    </w:p>
    <w:p>
      <w:pPr>
        <w:pStyle w:val="bullet"/>
      </w:pPr>
      <w:r>
        <w:rPr>
          <w:rFonts w:ascii="Arial" w:hAnsi="Arial" w:eastAsia="Arial" w:cs="Arial"/>
          <w:i w:val="false"/>
          <w:b w:val="true"/>
          <w:u w:val="none"/>
          <w:sz w:val="20"/>
          <w:szCs w:val="20"/>
          <w:color w:val="000000"/>
        </w:rPr>
        <w:t xml:space="preserve">Diagnostique</w:t>
      </w:r>
      <w:r>
        <w:rPr>
          <w:rFonts w:ascii="Arial" w:hAnsi="Arial" w:eastAsia="Arial" w:cs="Arial"/>
          <w:i w:val="false"/>
          <w:b w:val="true"/>
          <w:u w:val="none"/>
          <w:sz w:val="20"/>
          <w:szCs w:val="20"/>
          <w:color w:val="000000"/>
        </w:rPr>
        <w:t xml:space="preserve">: </w:t>
      </w:r>
      <w:r>
        <w:t xml:space="preserve">Les données sur le diagnostic de l'hypertension artérielle au Liban montrent une stabilité globale entre 2024 et 2025. Les taux de prévalence chez les hommes et les femmes sont respectivement de 29% et 57% en 2025, avec des variations non significatives par rapport à l'année précédente. Les seules variations notables, bien que non significatives, sont observées dans certaines tranches d'âge, notamment une augmentation de 5% chez les 60-69 ans, mais avec un p-value de 0.1234. Aucun changement significatif n'est constaté, tous les p-values étant supérieurs à 0.05.</w:t>
      </w:r>
    </w:p>
    <w:p>
      <w:pPr>
        <w:pStyle w:val="bullet"/>
      </w:pPr>
      <w:r>
        <w:rPr>
          <w:rFonts w:ascii="Arial" w:hAnsi="Arial" w:eastAsia="Arial" w:cs="Arial"/>
          <w:i w:val="false"/>
          <w:b w:val="true"/>
          <w:u w:val="none"/>
          <w:sz w:val="20"/>
          <w:szCs w:val="20"/>
          <w:color w:val="000000"/>
        </w:rPr>
        <w:t xml:space="preserve">Traitement</w:t>
      </w:r>
      <w:r>
        <w:rPr>
          <w:rFonts w:ascii="Arial" w:hAnsi="Arial" w:eastAsia="Arial" w:cs="Arial"/>
          <w:i w:val="false"/>
          <w:b w:val="true"/>
          <w:u w:val="none"/>
          <w:sz w:val="20"/>
          <w:szCs w:val="20"/>
          <w:color w:val="000000"/>
        </w:rPr>
        <w:t xml:space="preserve">: </w:t>
      </w:r>
      <w:r>
        <w:t xml:space="preserve">Le traitement de l'hypertension au Liban reste stable, avec 29 personnes sous médication en 2024 et 2025. Les analyses par sexe et par groupe d'âge ne montrent pas de changements significatifs, à l'exception d'une augmentation de 7 points chez les personnes âgées de 60 à 69 ans, mais avec un p-value de 0,071, ce changement n'est pas considéré comme significatif. Aucun autre changement n'a atteint le seuil de signification avec un p-value inférieur à 0,05.</w:t>
      </w:r>
    </w:p>
    <w:p>
      <w:pPr>
        <w:pStyle w:val="bullet"/>
      </w:pPr>
      <w:r>
        <w:rPr>
          <w:rFonts w:ascii="Arial" w:hAnsi="Arial" w:eastAsia="Arial" w:cs="Arial"/>
          <w:i w:val="false"/>
          <w:b w:val="true"/>
          <w:u w:val="none"/>
          <w:sz w:val="20"/>
          <w:szCs w:val="20"/>
          <w:color w:val="000000"/>
        </w:rPr>
        <w:t xml:space="preserve">Contrôle</w:t>
      </w:r>
      <w:r>
        <w:rPr>
          <w:rFonts w:ascii="Arial" w:hAnsi="Arial" w:eastAsia="Arial" w:cs="Arial"/>
          <w:i w:val="false"/>
          <w:b w:val="true"/>
          <w:u w:val="none"/>
          <w:sz w:val="20"/>
          <w:szCs w:val="20"/>
          <w:color w:val="000000"/>
        </w:rPr>
        <w:t xml:space="preserve">: </w:t>
      </w:r>
      <w:r>
        <w:t xml:space="preserve">La prévalence de l'hypertension artérielle (PA ≥140 et/ou PA diastolique ≥ 90 mmHg) est restée stable entre 2024 et 2025, avec 19 cas chacune. Cependant, une baisse significative de 7 cas a été observée chez les personnes âgées de 60 à 69 ans (p = 0,0103). En revanche, le contrôle de l'hypertension a augmenté de 9 cas chez les personnes âgées de 60 à 69 ans (p &lt; 0,001), indiquant une amélioration significative dans cette tranche d'âge.</w:t>
      </w:r>
    </w:p>
    <w:p>
      <w:pPr/>
      <w:r>
        <w:br w:type="page"/>
      </w: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Graphiques</w:t>
            </w:r>
          </w:p>
        </w:tc>
      </w:tr>
    </w:tbl>
    <w:p>
      <w:pPr>
        <w:pStyle w:val="Normal"/>
      </w:pPr>
      <w:r>
        <w:rPr/>
        <w:drawing>
          <wp:inline distT="0" distB="0" distL="0" distR="0">
            <wp:extent cx="6629400" cy="41148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6"/>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7"/>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9"/>
                    <a:stretch>
                      <a:fillRect/>
                    </a:stretch>
                  </pic:blipFill>
                  <pic:spPr bwMode="auto">
                    <a:xfrm>
                      <a:off x="0" y="0"/>
                      <a:ext cx="92075" cy="57150"/>
                    </a:xfrm>
                    <a:prstGeom prst="rect">
                      <a:avLst/>
                    </a:prstGeom>
                    <a:noFill/>
                  </pic:spPr>
                </pic:pic>
              </a:graphicData>
            </a:graphic>
          </wp:inline>
        </w:drawing>
      </w:r>
    </w:p>
    <w:sectPr w:rsidR="00C47B8A" w:rsidRPr="0089270D" w:rsidSect="00680F46">
      <w:headerReference w:type="even" r:id="rId7"/>
      <w:headerReference w:type="default" r:id="rId8"/>
      <w:footerReference w:type="even" r:id="rId9"/>
      <w:footerReference w:type="default" r:id="rId10"/>
      <w:headerReference w:type="first" r:id="rId11"/>
      <w:footerReference w:type="first" r:id="rId12"/>
      <w:pgSz w:w="11906" w:h="16838"/>
      <w:pgMar w:top="1440" w:right="737" w:bottom="1440" w:left="737" w:header="680"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0EAE9" w14:textId="77777777" w:rsidR="00D5084D" w:rsidRDefault="00D5084D" w:rsidP="00D427AF">
      <w:r>
        <w:separator/>
      </w:r>
    </w:p>
  </w:endnote>
  <w:endnote w:type="continuationSeparator" w:id="0">
    <w:p w14:paraId="44B678EE" w14:textId="77777777" w:rsidR="00D5084D" w:rsidRDefault="00D5084D" w:rsidP="00D42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0982265"/>
      <w:docPartObj>
        <w:docPartGallery w:val="Page Numbers (Bottom of Page)"/>
        <w:docPartUnique/>
      </w:docPartObj>
    </w:sdtPr>
    <w:sdtContent>
      <w:p w14:paraId="7ACB4BD3" w14:textId="0CD44354" w:rsidR="00966848" w:rsidRDefault="00966848" w:rsidP="00E81E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F2093" w14:textId="77777777" w:rsidR="00946C5B" w:rsidRDefault="00946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2989871"/>
      <w:docPartObj>
        <w:docPartGallery w:val="Page Numbers (Bottom of Page)"/>
        <w:docPartUnique/>
      </w:docPartObj>
    </w:sdtPr>
    <w:sdtContent>
      <w:p w14:paraId="6F4B1C03" w14:textId="7C9A7139" w:rsidR="00966848" w:rsidRDefault="00966848" w:rsidP="00E81E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DFE05E" w14:textId="77777777" w:rsidR="00946C5B" w:rsidRDefault="00946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5171" w14:textId="77777777" w:rsidR="00946C5B" w:rsidRDefault="00946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8DEC6" w14:textId="77777777" w:rsidR="00D5084D" w:rsidRDefault="00D5084D" w:rsidP="00D427AF">
      <w:r>
        <w:separator/>
      </w:r>
    </w:p>
  </w:footnote>
  <w:footnote w:type="continuationSeparator" w:id="0">
    <w:p w14:paraId="11C6AB86" w14:textId="77777777" w:rsidR="00D5084D" w:rsidRDefault="00D5084D" w:rsidP="00D427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92DF" w14:textId="77777777" w:rsidR="00946C5B" w:rsidRDefault="00946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62F1" w14:textId="55214F40" w:rsidR="00D427AF" w:rsidRDefault="004C56AA" w:rsidP="00AD077D">
    <w:pPr>
      <w:pStyle w:val="Header"/>
      <w:jc w:val="center"/>
    </w:pPr>
    <w:r>
      <w:rPr>
        <w:noProof/>
      </w:rPr>
      <mc:AlternateContent>
        <mc:Choice Requires="wps">
          <w:drawing>
            <wp:anchor distT="0" distB="0" distL="114300" distR="114300" simplePos="0" relativeHeight="251659264" behindDoc="0" locked="0" layoutInCell="1" allowOverlap="1" wp14:anchorId="79EA2CC7" wp14:editId="6F4758ED">
              <wp:simplePos x="0" y="0"/>
              <wp:positionH relativeFrom="column">
                <wp:posOffset>-467995</wp:posOffset>
              </wp:positionH>
              <wp:positionV relativeFrom="paragraph">
                <wp:posOffset>-417195</wp:posOffset>
              </wp:positionV>
              <wp:extent cx="7550590" cy="860080"/>
              <wp:effectExtent l="0" t="0" r="6350" b="3810"/>
              <wp:wrapNone/>
              <wp:docPr id="2140200295" name="Rectangle 1"/>
              <wp:cNvGraphicFramePr/>
              <a:graphic xmlns:a="http://schemas.openxmlformats.org/drawingml/2006/main">
                <a:graphicData uri="http://schemas.microsoft.com/office/word/2010/wordprocessingShape">
                  <wps:wsp>
                    <wps:cNvSpPr/>
                    <wps:spPr>
                      <a:xfrm>
                        <a:off x="0" y="0"/>
                        <a:ext cx="7550590" cy="860080"/>
                      </a:xfrm>
                      <a:prstGeom prst="rect">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41F2C1" w14:textId="2246D095" w:rsidR="00056202" w:rsidRDefault="00056202" w:rsidP="00056202">
                          <w:pPr>
                            <w:jc w:val="center"/>
                            <w:rPr>
                              <w:sz w:val="36"/>
                              <w:szCs w:val="36"/>
                            </w:rPr>
                          </w:pPr>
                          <w:bookmarkStart w:id="0" w:name="header"/>
                          <w:r w:rsidRPr="00E04BC0">
                            <w:rPr>
                              <w:sz w:val="36"/>
                              <w:szCs w:val="36"/>
                            </w:rPr>
                            <w:t>Fiche de comparaison : Liban 2024 &amp; 2025</w:t>
                          </w:r>
                          <w:bookmarkEnd w:id="0"/>
                        </w:p>
                        <w:p w14:paraId="6397170D" w14:textId="1E8072A6" w:rsidR="00902713" w:rsidRPr="00E04BC0" w:rsidRDefault="00902713" w:rsidP="00056202">
                          <w:pPr>
                            <w:jc w:val="center"/>
                            <w:rPr>
                              <w:sz w:val="36"/>
                              <w:szCs w:val="36"/>
                            </w:rPr>
                          </w:pPr>
                          <w:bookmarkStart w:id="1" w:name="header2"/>
                          <w:r>
                            <w:rPr>
                              <w:sz w:val="36"/>
                              <w:szCs w:val="36"/>
                            </w:rPr>
                            <w:t>Hypertension ou pression artérielle élevée</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EA2CC7" id="Rectangle 1" o:spid="_x0000_s1026" style="position:absolute;left:0;text-align:left;margin-left:-36.85pt;margin-top:-32.85pt;width:594.55pt;height:67.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" fillcolor="#2f5496 [2404]" stroked="f" strokeweight="1pt">
              <v:textbox>
                <w:txbxContent>
                  <w:p w14:paraId="4C41F2C1" w14:textId="2246D095" w:rsidR="00056202" w:rsidRDefault="00056202" w:rsidP="00056202">
                    <w:pPr>
                      <w:jc w:val="center"/>
                      <w:rPr>
                        <w:sz w:val="36"/>
                        <w:szCs w:val="36"/>
                      </w:rPr>
                    </w:pPr>
                    <w:bookmarkStart w:id="2" w:name="header"/>
                    <w:r w:rsidRPr="00E04BC0">
                      <w:rPr>
                        <w:sz w:val="36"/>
                        <w:szCs w:val="36"/>
                      </w:rPr>
                      <w:t>header</w:t>
                    </w:r>
                    <w:bookmarkEnd w:id="2"/>
                  </w:p>
                  <w:p w14:paraId="6397170D" w14:textId="1E8072A6" w:rsidR="00902713" w:rsidRPr="00E04BC0" w:rsidRDefault="00902713" w:rsidP="00056202">
                    <w:pPr>
                      <w:jc w:val="center"/>
                      <w:rPr>
                        <w:sz w:val="36"/>
                        <w:szCs w:val="36"/>
                      </w:rPr>
                    </w:pPr>
                    <w:bookmarkStart w:id="3" w:name="header2"/>
                    <w:r>
                      <w:rPr>
                        <w:sz w:val="36"/>
                        <w:szCs w:val="36"/>
                      </w:rPr>
                      <w:t>header2</w:t>
                    </w:r>
                    <w:bookmarkEnd w:id="3"/>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358BE" w14:textId="77777777" w:rsidR="00946C5B" w:rsidRDefault="00946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7A635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802AE9"/>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A13503B"/>
    <w:multiLevelType w:val="hybridMultilevel"/>
    <w:tmpl w:val="C0389990"/>
    <w:lvl w:ilvl="0" w:tplc="71E4AF42">
      <w:start w:val="1"/>
      <w:numFmt w:val="bullet"/>
      <w:pStyle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D3810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754354197">
    <w:abstractNumId w:val="2"/>
  </w:num>
  <w:num w:numId="2" w16cid:durableId="385421868">
    <w:abstractNumId w:val="0"/>
  </w:num>
  <w:num w:numId="3" w16cid:durableId="382798034">
    <w:abstractNumId w:val="1"/>
  </w:num>
  <w:num w:numId="4" w16cid:durableId="1191411409">
    <w:abstractNumId w:val="3"/>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F66"/>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1C2CFB"/>
    <w:pPr>
      <w:spacing w:after="100"/>
      <w:contextualSpacing/>
    </w:pPr>
    <w:rPr>
      <w:rFonts w:ascii="Gill Sans MT" w:hAnsi="Gill Sans MT"/>
      <w:sz w:val="22"/>
      <w:szCs w:val="22"/>
      <w:lang w:val="en-US"/>
    </w:rPr>
  </w:style>
  <w:style w:type="paragraph" w:styleId="ListParagraph">
    <w:name w:val="List Paragraph"/>
    <w:basedOn w:val="Normal"/>
    <w:uiPriority w:val="34"/>
    <w:qFormat/>
    <w:rsid w:val="00C47B8A"/>
    <w:pPr>
      <w:ind w:left="720"/>
      <w:contextualSpacing/>
    </w:pPr>
  </w:style>
  <w:style w:type="paragraph" w:customStyle="1" w:styleId="bullet">
    <w:name w:val="bullet"/>
    <w:basedOn w:val="ListParagraph"/>
    <w:autoRedefine/>
    <w:qFormat/>
    <w:rsid w:val="002A555B"/>
    <w:pPr>
      <w:numPr>
        <w:numId w:val="1"/>
      </w:numPr>
      <w:ind w:left="357" w:hanging="357"/>
    </w:pPr>
  </w:style>
  <w:style w:type="numbering" w:customStyle="1" w:styleId="CurrentList1">
    <w:name w:val="Current List1"/>
    <w:uiPriority w:val="99"/>
    <w:rsid w:val="009F33A2"/>
    <w:pPr>
      <w:numPr>
        <w:numId w:val="3"/>
      </w:numPr>
    </w:pPr>
  </w:style>
  <w:style w:type="paragraph" w:styleId="Header">
    <w:name w:val="header"/>
    <w:basedOn w:val="Normal"/>
    <w:link w:val="HeaderChar"/>
    <w:uiPriority w:val="99"/>
    <w:unhideWhenUsed/>
    <w:rsid w:val="00D427AF"/>
    <w:pPr>
      <w:tabs>
        <w:tab w:val="center" w:pos="4513"/>
        <w:tab w:val="right" w:pos="9026"/>
      </w:tabs>
    </w:pPr>
  </w:style>
  <w:style w:type="character" w:customStyle="1" w:styleId="HeaderChar">
    <w:name w:val="Header Char"/>
    <w:basedOn w:val="DefaultParagraphFont"/>
    <w:link w:val="Header"/>
    <w:uiPriority w:val="99"/>
    <w:rsid w:val="00D427AF"/>
  </w:style>
  <w:style w:type="paragraph" w:styleId="Footer">
    <w:name w:val="footer"/>
    <w:basedOn w:val="Normal"/>
    <w:link w:val="FooterChar"/>
    <w:uiPriority w:val="99"/>
    <w:unhideWhenUsed/>
    <w:rsid w:val="00D427AF"/>
    <w:pPr>
      <w:tabs>
        <w:tab w:val="center" w:pos="4513"/>
        <w:tab w:val="right" w:pos="9026"/>
      </w:tabs>
    </w:pPr>
  </w:style>
  <w:style w:type="character" w:customStyle="1" w:styleId="FooterChar">
    <w:name w:val="Footer Char"/>
    <w:basedOn w:val="DefaultParagraphFont"/>
    <w:link w:val="Footer"/>
    <w:uiPriority w:val="99"/>
    <w:rsid w:val="00D427AF"/>
  </w:style>
  <w:style w:type="table" w:styleId="TableGrid">
    <w:name w:val="Table Grid"/>
    <w:basedOn w:val="TableNormal"/>
    <w:uiPriority w:val="39"/>
    <w:rsid w:val="004A2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66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
<Relationship Id="rId8" Type="http://schemas.openxmlformats.org/officeDocument/2006/relationships/header" Target="header2.xml"/>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header" Target="header1.xml"/>
<Relationship Id="rId12" Type="http://schemas.openxmlformats.org/officeDocument/2006/relationships/footer" Target="footer3.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5" Type="http://schemas.openxmlformats.org/officeDocument/2006/relationships/footnotes" Target="footnotes.xml"/>
<Relationship Id="rId10"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theme" Target="theme/theme1.xml"/>
<Relationship Id="rId15" Type="http://schemas.openxmlformats.org/officeDocument/2006/relationships/image" Target="media/5eb482e8757afa9b7ba602b1c8adf8645a118983.png"/>
<Relationship Id="rId16" Type="http://schemas.openxmlformats.org/officeDocument/2006/relationships/image" Target="media/5433a720dfd5836f5a157bebc067466ff013be71.png"/>
<Relationship Id="rId17" Type="http://schemas.openxmlformats.org/officeDocument/2006/relationships/image" Target="media/0c2e0e27514ab9c0bcf57db3a8fc49c819624634.png"/>
<Relationship Id="rId18" Type="http://schemas.openxmlformats.org/officeDocument/2006/relationships/image" Target="media/8e82b849f5a01ada9bba7945c2ef4335cb3b3fca.png"/>
<Relationship Id="rId19" Type="http://schemas.openxmlformats.org/officeDocument/2006/relationships/image" Target="media/0900b6c95688fed014ef3d2c03e7f56e33d5460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Lucas  Malla</dc:creator>
  <cp:keywords/>
  <dc:description/>
  <cp:lastModifiedBy>lucasmalla</cp:lastModifiedBy>
  <cp:revision>29</cp:revision>
  <dcterms:created xsi:type="dcterms:W3CDTF">2025-10-01T16:57:00Z</dcterms:created>
  <dcterms:modified xsi:type="dcterms:W3CDTF">2025-10-31T13:27:38Z</dcterms:modified>
</cp:coreProperties>
</file>